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9"/>
        <w:jc w:val="both"/>
        <w:rPr>
          <w:sz w:val="24"/>
          <w:szCs w:val="24"/>
          <w:u w:val="single"/>
        </w:rPr>
      </w:pPr>
    </w:p>
    <w:p>
      <w:pPr>
        <w:pStyle w:val="PO9"/>
        <w:jc w:val="left"/>
        <w:rPr/>
      </w:pPr>
      <w:r>
        <w:rPr>
          <w:sz w:val="20"/>
        </w:rPr>
        <w:drawing>
          <wp:inline distT="0" distB="0" distL="0" distR="0">
            <wp:extent cx="1295400" cy="714375"/>
            <wp:effectExtent l="0" t="0" r="0" b="9525"/>
            <wp:docPr id="9" name="图片 1" descr="HKEX_BW Logo_RGB_Hr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windows/AppData/Roaming/JisuOffice/ETemp/1788_13075488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8" t="16165" r="11549" b="19614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7150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pStyle w:val="PO9"/>
        <w:jc w:val="left"/>
        <w:spacing w:lineRule="auto" w:line="216"/>
        <w:rPr>
          <w:rFonts w:ascii="Arial" w:hAnsi="Arial" w:cs="Arial"/>
        </w:rPr>
      </w:pPr>
      <w:r>
        <w:rPr>
          <w:rFonts w:ascii="Arial" w:hAnsi="Arial" w:cs="Arial"/>
        </w:rPr>
        <w:t xml:space="preserve">Monthly Return of Equity Issuer on Movements in Securities</w:t>
      </w:r>
    </w:p>
    <w:p>
      <w:pPr>
        <w:spacing w:lineRule="auto" w:line="216"/>
        <w:rPr>
          <w:i w:val="1"/>
          <w:rFonts w:ascii="Arial" w:hAnsi="Arial" w:cs="Arial"/>
        </w:rPr>
      </w:pP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3860"/>
        <w:gridCol w:w="4977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5"/>
          <w:cantSplit/>
        </w:trPr>
        <w:tc>
          <w:tcPr>
            <w:tcW w:type="dxa" w:w="3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</w:tcPr>
          <w:p>
            <w:pPr>
              <w:spacing w:lineRule="auto" w:line="216"/>
              <w:rPr>
                <w:b w:val="1"/>
                <w:sz w:val="22"/>
                <w:szCs w:val="22"/>
                <w:rFonts w:ascii="Arial" w:hAnsi="Arial" w:cs="Arial"/>
              </w:rPr>
            </w:pPr>
            <w:r>
              <w:rPr>
                <w:b w:val="1"/>
                <w:sz w:val="22"/>
                <w:szCs w:val="22"/>
                <w:rFonts w:ascii="Arial" w:hAnsi="Arial" w:cs="Arial"/>
              </w:rPr>
              <w:t xml:space="preserve">For the month ended </w:t>
            </w:r>
            <w:r>
              <w:rPr>
                <w:b w:val="1"/>
                <w:sz w:val="22"/>
                <w:szCs w:val="22"/>
                <w:rFonts w:ascii="Arial" w:hAnsi="Arial" w:cs="Arial"/>
              </w:rPr>
              <w:t xml:space="preserve">(dd/mm/yyyy) :                                                 </w:t>
            </w:r>
          </w:p>
        </w:tc>
        <w:tc>
          <w:tcPr>
            <w:tcW w:type="dxa" w:w="497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</w:tcBorders>
          </w:tcPr>
          <w:p>
            <w:pPr>
              <w:spacing w:lineRule="auto" w:line="216"/>
              <w:rPr>
                <w:b w:val="1"/>
                <w:sz w:val="22"/>
                <w:szCs w:val="22"/>
                <w:rFonts w:ascii="Arial" w:eastAsia="宋体" w:hAnsi="Arial" w:cs="Arial" w:hint="eastAsia"/>
              </w:rPr>
            </w:pPr>
            <w:r>
              <w:rPr>
                <w:b w:val="1"/>
                <w:sz w:val="22"/>
                <w:szCs w:val="22"/>
                <w:rFonts w:ascii="Arial" w:eastAsia="宋体" w:hAnsi="Arial" w:cs="Arial"/>
              </w:rPr>
              <w:t>3</w:t>
            </w:r>
            <w:r>
              <w:rPr>
                <w:b w:val="1"/>
                <w:sz w:val="22"/>
                <w:szCs w:val="22"/>
                <w:rFonts w:ascii="Arial" w:eastAsia="宋体" w:hAnsi="Arial" w:cs="Arial"/>
              </w:rPr>
              <w:t>1</w:t>
            </w:r>
            <w:r>
              <w:rPr>
                <w:b w:val="1"/>
                <w:sz w:val="22"/>
                <w:szCs w:val="22"/>
                <w:rFonts w:ascii="Arial" w:eastAsia="宋体" w:hAnsi="Arial" w:cs="Arial" w:hint="eastAsia"/>
              </w:rPr>
              <w:t>/</w:t>
            </w:r>
            <w:r>
              <w:rPr>
                <w:b w:val="1"/>
                <w:sz w:val="22"/>
                <w:szCs w:val="22"/>
                <w:rFonts w:ascii="Arial" w:eastAsia="宋体" w:hAnsi="Arial" w:cs="Arial"/>
              </w:rPr>
              <w:t>01</w:t>
            </w:r>
            <w:r>
              <w:rPr>
                <w:b w:val="1"/>
                <w:sz w:val="22"/>
                <w:szCs w:val="22"/>
                <w:rFonts w:ascii="Arial" w:eastAsia="宋体" w:hAnsi="Arial" w:cs="Arial" w:hint="eastAsia"/>
              </w:rPr>
              <w:t>/20</w:t>
            </w:r>
            <w:r>
              <w:rPr>
                <w:b w:val="1"/>
                <w:sz w:val="22"/>
                <w:szCs w:val="22"/>
                <w:rFonts w:ascii="Arial" w:eastAsia="宋体" w:hAnsi="Arial" w:cs="Arial" w:hint="eastAsia"/>
              </w:rPr>
              <w:t>20</w:t>
            </w:r>
          </w:p>
        </w:tc>
      </w:tr>
    </w:tbl>
    <w:p>
      <w:pPr>
        <w:spacing w:lineRule="auto" w:line="216"/>
        <w:rPr>
          <w:sz w:val="22"/>
          <w:szCs w:val="22"/>
          <w:rFonts w:ascii="Arial" w:hAnsi="Arial" w:cs="Arial"/>
        </w:rPr>
      </w:pPr>
    </w:p>
    <w:p>
      <w:pPr>
        <w:spacing w:lineRule="auto" w:line="216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 w:cs="Arial"/>
        </w:rPr>
        <w:t xml:space="preserve">To : Hong Kong Exchanges and Clearing Limited</w:t>
      </w:r>
    </w:p>
    <w:p>
      <w:pPr>
        <w:spacing w:lineRule="auto" w:line="216"/>
        <w:rPr>
          <w:sz w:val="22"/>
          <w:szCs w:val="22"/>
          <w:rFonts w:ascii="Arial" w:hAnsi="Arial" w:cs="Arial"/>
        </w:rPr>
      </w:pPr>
    </w:p>
    <w:p>
      <w:pPr>
        <w:spacing w:lineRule="auto" w:line="216"/>
        <w:rPr>
          <w:sz w:val="22"/>
          <w:szCs w:val="22"/>
          <w:rFonts w:ascii="Arial" w:hAnsi="Arial" w:cs="Arial"/>
        </w:rPr>
      </w:pP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9108" w:type="dxa"/>
        <w:tblLook w:val="000000" w:firstRow="0" w:lastRow="0" w:firstColumn="0" w:lastColumn="0" w:noHBand="0" w:noVBand="0"/>
        <w:tblLayout w:type="fixed"/>
      </w:tblPr>
      <w:tblGrid>
        <w:gridCol w:w="2808"/>
        <w:gridCol w:w="1440"/>
        <w:gridCol w:w="416"/>
        <w:gridCol w:w="1684"/>
        <w:gridCol w:w="2490"/>
        <w:gridCol w:w="27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0"/>
          <w:cantSplit/>
        </w:trPr>
        <w:tc>
          <w:tcPr>
            <w:tcW w:type="dxa" w:w="28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Name of Issuer</w:t>
            </w:r>
          </w:p>
        </w:tc>
        <w:tc>
          <w:tcPr>
            <w:tcW w:type="dxa" w:w="603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gridSpan w:val="4"/>
            <w:tcBorders>
              <w:bottom w:val="single" w:color="auto" w:sz="4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1"/>
                <w:szCs w:val="21"/>
              </w:rPr>
              <w:t xml:space="preserve">TK Group (Holdings) Limited (the “Company”)</w:t>
            </w:r>
          </w:p>
        </w:tc>
        <w:tc>
          <w:tcPr>
            <w:tcW w:type="dxa" w:w="2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16"/>
              <w:rPr>
                <w:i w:val="1"/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20"/>
          <w:cantSplit/>
        </w:trPr>
        <w:tc>
          <w:tcPr>
            <w:tcW w:type="dxa" w:w="28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Date Submitted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eastAsia="宋体" w:hAnsi="Arial" w:cs="Arial" w:hint="eastAsia"/>
              </w:rPr>
            </w:pPr>
            <w:r>
              <w:rPr>
                <w:sz w:val="22"/>
                <w:szCs w:val="22"/>
                <w:rFonts w:ascii="Arial" w:eastAsia="宋体" w:hAnsi="Arial" w:cs="Arial"/>
              </w:rPr>
              <w:t>0</w:t>
            </w:r>
            <w:r>
              <w:rPr>
                <w:sz w:val="22"/>
                <w:szCs w:val="22"/>
                <w:rFonts w:ascii="Arial" w:eastAsia="宋体" w:hAnsi="Arial" w:cs="Arial"/>
              </w:rPr>
              <w:t>3</w:t>
            </w:r>
            <w:r>
              <w:rPr>
                <w:sz w:val="22"/>
                <w:szCs w:val="22"/>
                <w:rFonts w:ascii="Arial" w:eastAsia="宋体" w:hAnsi="Arial" w:cs="Arial" w:hint="eastAsia"/>
              </w:rPr>
              <w:t>/</w:t>
            </w:r>
            <w:r>
              <w:rPr>
                <w:sz w:val="22"/>
                <w:szCs w:val="22"/>
                <w:rFonts w:ascii="Arial" w:eastAsia="宋体" w:hAnsi="Arial" w:cs="Arial"/>
              </w:rPr>
              <w:t>02</w:t>
            </w:r>
            <w:r>
              <w:rPr>
                <w:sz w:val="22"/>
                <w:szCs w:val="22"/>
                <w:rFonts w:ascii="Arial" w:eastAsia="宋体" w:hAnsi="Arial" w:cs="Arial" w:hint="eastAsia"/>
              </w:rPr>
              <w:t>/20</w:t>
            </w:r>
            <w:r>
              <w:rPr>
                <w:sz w:val="22"/>
                <w:szCs w:val="22"/>
                <w:rFonts w:ascii="Arial" w:eastAsia="宋体" w:hAnsi="Arial" w:cs="Arial" w:hint="eastAsia"/>
              </w:rPr>
              <w:t>20</w:t>
            </w:r>
          </w:p>
        </w:tc>
        <w:tc>
          <w:tcPr>
            <w:tcW w:type="dxa" w:w="4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68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</w:tcPr>
          <w:p>
            <w:pPr>
              <w:spacing w:lineRule="auto" w:line="216"/>
              <w:rPr>
                <w:i w:val="1"/>
                <w:sz w:val="22"/>
                <w:szCs w:val="22"/>
                <w:rFonts w:ascii="Arial" w:hAnsi="Arial" w:cs="Arial"/>
              </w:rPr>
            </w:pPr>
          </w:p>
        </w:tc>
      </w:tr>
    </w:tbl>
    <w:p>
      <w:pPr>
        <w:spacing w:lineRule="auto" w:line="216"/>
        <w:rPr>
          <w:rFonts w:ascii="Arial" w:hAnsi="Arial" w:cs="Arial"/>
        </w:rPr>
      </w:pPr>
    </w:p>
    <w:p>
      <w:pPr>
        <w:pStyle w:val="PO7"/>
        <w:spacing w:lineRule="auto" w:line="216"/>
        <w:rPr>
          <w:b w:val="0"/>
          <w:sz w:val="22"/>
          <w:szCs w:val="22"/>
          <w:rFonts w:ascii="Arial" w:hAnsi="Arial" w:cs="Arial"/>
        </w:rPr>
      </w:pPr>
      <w:r>
        <w:rPr>
          <w:b w:val="0"/>
          <w:sz w:val="22"/>
          <w:szCs w:val="22"/>
          <w:rFonts w:ascii="Arial" w:hAnsi="Arial" w:cs="Arial"/>
        </w:rPr>
        <w:t xml:space="preserve">I. Movements in Authorised Share Capital</w:t>
      </w:r>
    </w:p>
    <w:p>
      <w:pPr>
        <w:spacing w:lineRule="auto" w:line="216"/>
        <w:rPr>
          <w:rFonts w:ascii="Arial" w:hAnsi="Arial" w:cs="Arial"/>
        </w:rPr>
      </w:pPr>
    </w:p>
    <w:p>
      <w:pPr>
        <w:spacing w:lineRule="auto" w:line="216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 w:cs="Arial"/>
        </w:rPr>
        <w:t xml:space="preserve">1. Ordinary Shares</w:t>
      </w:r>
    </w:p>
    <w:tbl>
      <w:tblID w:val="0"/>
      <w:tblPr>
        <w:tblCellMar>
          <w:left w:w="28" w:type="dxa"/>
          <w:top w:w="0" w:type="dxa"/>
          <w:right w:w="28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247"/>
        <w:gridCol w:w="90"/>
        <w:gridCol w:w="18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8"/>
          <w:cantSplit/>
        </w:trPr>
        <w:tc>
          <w:tcPr>
            <w:tcW w:type="dxa" w:w="164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left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(1) Stock code :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eastAsia="宋体" w:hAnsi="Arial" w:cs="Arial" w:hint="eastAsia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02283</w:t>
            </w: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2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Description :</w:t>
            </w:r>
          </w:p>
        </w:tc>
        <w:tc>
          <w:tcPr>
            <w:tcW w:type="dxa" w:w="42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eastAsia="宋体" w:hAnsi="Arial" w:cs="Arial" w:hint="eastAsia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Ordinary Shares</w:t>
            </w: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right w:val="single" w:color="auto" w:sz="4"/>
              <w:top w:val="single" w:color="auto" w:sz="4"/>
            </w:tcBorders>
          </w:tcPr>
          <w:p>
            <w:pPr>
              <w:jc w:val="right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8"/>
          <w:cantSplit/>
        </w:trPr>
        <w:tc>
          <w:tcPr>
            <w:tcW w:type="dxa" w:w="36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</w:tcBorders>
          </w:tcPr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3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</w:tcPr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25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5"/>
            <w:tcBorders>
              <w:bottom w:val="nil" w:color="auto"/>
            </w:tcBorders>
          </w:tcPr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8"/>
          <w:cantSplit/>
        </w:trPr>
        <w:tc>
          <w:tcPr>
            <w:tcW w:type="dxa" w:w="36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nil" w:color="auto"/>
            </w:tcBorders>
          </w:tcPr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No. of ordinary </w:t>
            </w:r>
            <w:r>
              <w:rPr>
                <w:sz w:val="22"/>
                <w:szCs w:val="22"/>
                <w:rFonts w:ascii="Arial" w:hAnsi="Arial" w:cs="Arial"/>
              </w:rPr>
              <w:t>shares</w:t>
            </w:r>
          </w:p>
        </w:tc>
        <w:tc>
          <w:tcPr>
            <w:tcW w:type="dxa" w:w="13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</w:tcPr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Par value</w:t>
            </w:r>
          </w:p>
          <w:p>
            <w:pPr>
              <w:jc w:val="center"/>
              <w:spacing w:lineRule="auto" w:line="216"/>
              <w:rPr>
                <w:i w:val="1"/>
                <w:sz w:val="22"/>
                <w:szCs w:val="22"/>
                <w:rFonts w:ascii="Arial" w:hAnsi="Arial" w:cs="Arial"/>
              </w:rPr>
            </w:pPr>
            <w:r>
              <w:rPr>
                <w:i w:val="1"/>
                <w:sz w:val="22"/>
                <w:szCs w:val="22"/>
                <w:rFonts w:ascii="Arial" w:hAnsi="Arial" w:cs="Arial"/>
              </w:rPr>
              <w:t xml:space="preserve">(State </w:t>
            </w:r>
            <w:r>
              <w:rPr>
                <w:i w:val="1"/>
                <w:sz w:val="22"/>
                <w:szCs w:val="22"/>
                <w:rFonts w:ascii="Arial" w:hAnsi="Arial" w:cs="Arial"/>
              </w:rPr>
              <w:t>currency)</w:t>
            </w:r>
          </w:p>
        </w:tc>
        <w:tc>
          <w:tcPr>
            <w:tcW w:type="dxa" w:w="225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5"/>
            <w:tcBorders>
              <w:bottom w:val="nil" w:color="auto"/>
            </w:tcBorders>
          </w:tcPr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Authorised share </w:t>
            </w:r>
            <w:r>
              <w:rPr>
                <w:sz w:val="22"/>
                <w:szCs w:val="22"/>
                <w:rFonts w:ascii="Arial" w:hAnsi="Arial" w:cs="Arial"/>
              </w:rPr>
              <w:t xml:space="preserve">capital </w:t>
            </w:r>
          </w:p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i w:val="1"/>
                <w:sz w:val="22"/>
                <w:szCs w:val="22"/>
                <w:rFonts w:ascii="Arial" w:hAnsi="Arial" w:cs="Arial"/>
              </w:rPr>
              <w:t xml:space="preserve">(State currency)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5"/>
          <w:cantSplit/>
        </w:trPr>
        <w:tc>
          <w:tcPr>
            <w:tcW w:type="dxa" w:w="36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Balance at close of preceding month</w:t>
            </w:r>
          </w:p>
        </w:tc>
        <w:tc>
          <w:tcPr>
            <w:tcW w:type="dxa" w:w="17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2,000,000,000</w:t>
            </w: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HK$0.10</w:t>
            </w: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3"/>
            <w:tcBorders>
              <w:bottom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HK$200,000,000.00</w:t>
            </w:r>
          </w:p>
        </w:tc>
        <w:tc>
          <w:tcPr>
            <w:tcW w:type="dxa" w:w="2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85"/>
          <w:cantSplit/>
        </w:trPr>
        <w:tc>
          <w:tcPr>
            <w:tcW w:type="dxa" w:w="36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>Increase/(decrease)</w:t>
            </w:r>
          </w:p>
        </w:tc>
        <w:tc>
          <w:tcPr>
            <w:tcW w:type="dxa" w:w="17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2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0"/>
          <w:cantSplit/>
        </w:trPr>
        <w:tc>
          <w:tcPr>
            <w:tcW w:type="dxa" w:w="36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  <w:tcBorders>
              <w:bottom w:val="nil" w:color="auto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type="dxa" w:w="17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30"/>
          <w:cantSplit/>
        </w:trPr>
        <w:tc>
          <w:tcPr>
            <w:tcW w:type="dxa" w:w="36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Balance at close of the month</w:t>
            </w:r>
          </w:p>
        </w:tc>
        <w:tc>
          <w:tcPr>
            <w:tcW w:type="dxa" w:w="17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2,000,000,000</w:t>
            </w: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HK$0.10</w:t>
            </w: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3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HK$200,000,000.00</w:t>
            </w:r>
          </w:p>
        </w:tc>
        <w:tc>
          <w:tcPr>
            <w:tcW w:type="dxa" w:w="2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15"/>
          <w:cantSplit/>
        </w:trPr>
        <w:tc>
          <w:tcPr>
            <w:tcW w:type="dxa" w:w="164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nil" w:color="auto"/>
              <w:right w:val="nil" w:color="auto"/>
              <w:top w:val="nil" w:color="auto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34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5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9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4"/>
            <w:tcBorders>
              <w:bottom w:val="nil" w:color="auto"/>
              <w:left w:val="nil" w:color="auto"/>
              <w:top w:val="nil" w:color="auto"/>
            </w:tcBorders>
          </w:tcPr>
          <w:p>
            <w:pPr>
              <w:jc w:val="right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8"/>
          <w:cantSplit/>
        </w:trPr>
        <w:tc>
          <w:tcPr>
            <w:tcW w:type="dxa" w:w="164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left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(2) Stock code :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eastAsia="宋体" w:hAnsi="Arial" w:cs="Arial" w:hint="eastAsia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2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Description :</w:t>
            </w:r>
          </w:p>
        </w:tc>
        <w:tc>
          <w:tcPr>
            <w:tcW w:type="dxa" w:w="42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2"/>
                <w:szCs w:val="22"/>
                <w:rFonts w:ascii="Arial" w:eastAsia="宋体" w:hAnsi="Arial" w:cs="Arial" w:hint="eastAsia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right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8"/>
          <w:cantSplit/>
        </w:trPr>
        <w:tc>
          <w:tcPr>
            <w:tcW w:type="dxa" w:w="36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     </w:t>
            </w:r>
          </w:p>
        </w:tc>
        <w:tc>
          <w:tcPr>
            <w:tcW w:type="dxa" w:w="17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</w:tcBorders>
          </w:tcPr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3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</w:tcPr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25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5"/>
            <w:tcBorders>
              <w:bottom w:val="nil" w:color="auto"/>
            </w:tcBorders>
          </w:tcPr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8"/>
          <w:cantSplit/>
        </w:trPr>
        <w:tc>
          <w:tcPr>
            <w:tcW w:type="dxa" w:w="36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nil" w:color="auto"/>
            </w:tcBorders>
          </w:tcPr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No. of ordinary </w:t>
            </w:r>
            <w:r>
              <w:rPr>
                <w:sz w:val="22"/>
                <w:szCs w:val="22"/>
                <w:rFonts w:ascii="Arial" w:hAnsi="Arial" w:cs="Arial"/>
              </w:rPr>
              <w:t>shares</w:t>
            </w:r>
          </w:p>
        </w:tc>
        <w:tc>
          <w:tcPr>
            <w:tcW w:type="dxa" w:w="13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</w:tcPr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Par value</w:t>
            </w:r>
          </w:p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i w:val="1"/>
                <w:sz w:val="22"/>
                <w:szCs w:val="22"/>
                <w:rFonts w:ascii="Arial" w:hAnsi="Arial" w:cs="Arial"/>
              </w:rPr>
              <w:t xml:space="preserve">(State </w:t>
            </w:r>
            <w:r>
              <w:rPr>
                <w:i w:val="1"/>
                <w:sz w:val="22"/>
                <w:szCs w:val="22"/>
                <w:rFonts w:ascii="Arial" w:hAnsi="Arial" w:cs="Arial"/>
              </w:rPr>
              <w:t>currency)</w:t>
            </w:r>
          </w:p>
        </w:tc>
        <w:tc>
          <w:tcPr>
            <w:tcW w:type="dxa" w:w="225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5"/>
            <w:tcBorders>
              <w:bottom w:val="nil" w:color="auto"/>
            </w:tcBorders>
          </w:tcPr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Authorised share </w:t>
            </w:r>
            <w:r>
              <w:rPr>
                <w:sz w:val="22"/>
                <w:szCs w:val="22"/>
                <w:rFonts w:ascii="Arial" w:hAnsi="Arial" w:cs="Arial"/>
              </w:rPr>
              <w:t xml:space="preserve">capital </w:t>
            </w:r>
          </w:p>
          <w:p>
            <w:pPr>
              <w:jc w:val="center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i w:val="1"/>
                <w:sz w:val="22"/>
                <w:szCs w:val="22"/>
                <w:rFonts w:ascii="Arial" w:hAnsi="Arial" w:cs="Arial"/>
              </w:rPr>
              <w:t xml:space="preserve">(State currency)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5"/>
          <w:cantSplit/>
        </w:trPr>
        <w:tc>
          <w:tcPr>
            <w:tcW w:type="dxa" w:w="36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Balance at close of preceding month</w:t>
            </w:r>
          </w:p>
        </w:tc>
        <w:tc>
          <w:tcPr>
            <w:tcW w:type="dxa" w:w="17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7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85"/>
          <w:cantSplit/>
        </w:trPr>
        <w:tc>
          <w:tcPr>
            <w:tcW w:type="dxa" w:w="36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>Increase/(decrease)</w:t>
            </w:r>
          </w:p>
        </w:tc>
        <w:tc>
          <w:tcPr>
            <w:tcW w:type="dxa" w:w="17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7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0"/>
          <w:cantSplit/>
        </w:trPr>
        <w:tc>
          <w:tcPr>
            <w:tcW w:type="dxa" w:w="36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  <w:tcBorders>
              <w:bottom w:val="nil" w:color="auto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type="dxa" w:w="17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7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30"/>
          <w:cantSplit/>
        </w:trPr>
        <w:tc>
          <w:tcPr>
            <w:tcW w:type="dxa" w:w="36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Balance at close of the month</w:t>
            </w:r>
          </w:p>
        </w:tc>
        <w:tc>
          <w:tcPr>
            <w:tcW w:type="dxa" w:w="17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7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15"/>
          <w:cantSplit/>
        </w:trPr>
        <w:tc>
          <w:tcPr>
            <w:tcW w:type="dxa" w:w="164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auto" w:sz="4"/>
              <w:right w:val="nil" w:color="auto"/>
              <w:top w:val="nil" w:color="auto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</w:tcPr>
          <w:p>
            <w:pPr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34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5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</w:tcPr>
          <w:p>
            <w:pPr>
              <w:spacing w:lineRule="auto" w:line="216"/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9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4"/>
            <w:tcBorders>
              <w:bottom w:val="single" w:color="auto" w:sz="4"/>
              <w:left w:val="nil" w:color="auto"/>
              <w:top w:val="nil" w:color="auto"/>
            </w:tcBorders>
          </w:tcPr>
          <w:p>
            <w:pPr>
              <w:jc w:val="right"/>
              <w:spacing w:lineRule="auto" w:line="216"/>
              <w:rPr>
                <w:sz w:val="22"/>
                <w:szCs w:val="22"/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sz w:val="22"/>
          <w:szCs w:val="22"/>
          <w:rFonts w:ascii="Arial" w:hAnsi="Arial" w:cs="Arial"/>
        </w:rPr>
      </w:pPr>
      <w:r>
        <w:br w:type="page"/>
      </w:r>
      <w:r>
        <w:rPr>
          <w:sz w:val="22"/>
          <w:szCs w:val="22"/>
          <w:rFonts w:ascii="Arial" w:hAnsi="Arial" w:cs="Arial"/>
        </w:rPr>
        <w:t xml:space="preserve">2. Preference Shares</w:t>
      </w:r>
    </w:p>
    <w:tbl>
      <w:tblID w:val="0"/>
      <w:tblPr>
        <w:tblCellMar>
          <w:left w:w="28" w:type="dxa"/>
          <w:top w:w="0" w:type="dxa"/>
          <w:right w:w="28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8"/>
          <w:cantSplit/>
        </w:trPr>
        <w:tc>
          <w:tcPr>
            <w:tcW w:type="dxa" w:w="164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left w:val="single" w:color="auto" w:sz="4"/>
              <w:top w:val="single" w:color="auto" w:sz="4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  Stock code :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2"/>
                <w:szCs w:val="22"/>
                <w:rFonts w:ascii="Arial" w:eastAsia="宋体" w:hAnsi="Arial" w:cs="Arial" w:hint="eastAsia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2"/>
            <w:tcBorders>
              <w:top w:val="single" w:color="auto" w:sz="4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Description :</w:t>
            </w:r>
          </w:p>
        </w:tc>
        <w:tc>
          <w:tcPr>
            <w:tcW w:type="dxa" w:w="40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7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2"/>
                <w:szCs w:val="22"/>
                <w:rFonts w:ascii="Arial" w:eastAsia="宋体" w:hAnsi="Arial" w:cs="Arial" w:hint="eastAsia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right w:val="single" w:color="auto" w:sz="4"/>
              <w:top w:val="single" w:color="auto" w:sz="4"/>
            </w:tcBorders>
          </w:tcPr>
          <w:p>
            <w:pPr>
              <w:jc w:val="right"/>
              <w:rPr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8"/>
          <w:cantSplit/>
        </w:trPr>
        <w:tc>
          <w:tcPr>
            <w:tcW w:type="dxa" w:w="36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  </w:t>
            </w:r>
          </w:p>
        </w:tc>
        <w:tc>
          <w:tcPr>
            <w:tcW w:type="dxa" w:w="17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3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0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4"/>
            <w:tcBorders>
              <w:bottom w:val="nil" w:color="auto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8"/>
          <w:cantSplit/>
        </w:trPr>
        <w:tc>
          <w:tcPr>
            <w:tcW w:type="dxa" w:w="36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nil" w:color="auto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No. of </w:t>
            </w:r>
            <w:r>
              <w:rPr>
                <w:sz w:val="22"/>
                <w:szCs w:val="22"/>
                <w:rFonts w:ascii="Arial" w:hAnsi="Arial" w:cs="Arial"/>
              </w:rPr>
              <w:t xml:space="preserve">preference </w:t>
            </w:r>
            <w:r>
              <w:rPr>
                <w:sz w:val="22"/>
                <w:szCs w:val="22"/>
                <w:rFonts w:ascii="Arial" w:hAnsi="Arial" w:cs="Arial"/>
              </w:rPr>
              <w:t>shares</w:t>
            </w:r>
          </w:p>
        </w:tc>
        <w:tc>
          <w:tcPr>
            <w:tcW w:type="dxa" w:w="13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Par value</w:t>
            </w:r>
          </w:p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i w:val="1"/>
                <w:sz w:val="22"/>
                <w:szCs w:val="22"/>
                <w:rFonts w:ascii="Arial" w:hAnsi="Arial" w:cs="Arial"/>
              </w:rPr>
              <w:t xml:space="preserve">(State </w:t>
            </w:r>
            <w:r>
              <w:rPr>
                <w:i w:val="1"/>
                <w:sz w:val="22"/>
                <w:szCs w:val="22"/>
                <w:rFonts w:ascii="Arial" w:hAnsi="Arial" w:cs="Arial"/>
              </w:rPr>
              <w:t>currency)</w:t>
            </w:r>
          </w:p>
        </w:tc>
        <w:tc>
          <w:tcPr>
            <w:tcW w:type="dxa" w:w="20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4"/>
            <w:tcBorders>
              <w:bottom w:val="nil" w:color="auto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Authorised share </w:t>
            </w:r>
            <w:r>
              <w:rPr>
                <w:sz w:val="22"/>
                <w:szCs w:val="22"/>
                <w:rFonts w:ascii="Arial" w:hAnsi="Arial" w:cs="Arial"/>
              </w:rPr>
              <w:t xml:space="preserve">capital </w:t>
            </w:r>
          </w:p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i w:val="1"/>
                <w:sz w:val="22"/>
                <w:szCs w:val="22"/>
                <w:rFonts w:ascii="Arial" w:hAnsi="Arial" w:cs="Arial"/>
              </w:rPr>
              <w:t xml:space="preserve">(State currency)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5"/>
          <w:cantSplit/>
        </w:trPr>
        <w:tc>
          <w:tcPr>
            <w:tcW w:type="dxa" w:w="36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Balance at close of preceding month</w:t>
            </w:r>
          </w:p>
        </w:tc>
        <w:tc>
          <w:tcPr>
            <w:tcW w:type="dxa" w:w="17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85"/>
          <w:cantSplit/>
        </w:trPr>
        <w:tc>
          <w:tcPr>
            <w:tcW w:type="dxa" w:w="36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>Increase/(decrease)</w:t>
            </w:r>
          </w:p>
        </w:tc>
        <w:tc>
          <w:tcPr>
            <w:tcW w:type="dxa" w:w="17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0"/>
          <w:cantSplit/>
        </w:trPr>
        <w:tc>
          <w:tcPr>
            <w:tcW w:type="dxa" w:w="36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  <w:tcBorders>
              <w:bottom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type="dxa" w:w="17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30"/>
          <w:cantSplit/>
        </w:trPr>
        <w:tc>
          <w:tcPr>
            <w:tcW w:type="dxa" w:w="36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Balance at close of the month</w:t>
            </w:r>
          </w:p>
        </w:tc>
        <w:tc>
          <w:tcPr>
            <w:tcW w:type="dxa" w:w="17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15"/>
          <w:cantSplit/>
        </w:trPr>
        <w:tc>
          <w:tcPr>
            <w:tcW w:type="dxa" w:w="164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auto" w:sz="4"/>
              <w:right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34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5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81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  <w:tcBorders>
              <w:bottom w:val="single" w:color="auto" w:sz="4"/>
              <w:left w:val="nil" w:color="auto"/>
              <w:top w:val="nil" w:color="auto"/>
            </w:tcBorders>
          </w:tcPr>
          <w:p>
            <w:pPr>
              <w:jc w:val="right"/>
              <w:rPr>
                <w:sz w:val="22"/>
                <w:szCs w:val="22"/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 w:cs="Arial"/>
        </w:rPr>
        <w:t xml:space="preserve">3. Other Classes of Shares</w:t>
      </w:r>
    </w:p>
    <w:tbl>
      <w:tblID w:val="0"/>
      <w:tblPr>
        <w:tblCellMar>
          <w:left w:w="28" w:type="dxa"/>
          <w:top w:w="0" w:type="dxa"/>
          <w:right w:w="28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8"/>
          <w:cantSplit/>
        </w:trPr>
        <w:tc>
          <w:tcPr>
            <w:tcW w:type="dxa" w:w="164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left w:val="single" w:color="auto" w:sz="4"/>
              <w:top w:val="single" w:color="auto" w:sz="4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  Stock code :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2"/>
            <w:tcBorders>
              <w:top w:val="single" w:color="auto" w:sz="4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Description :</w:t>
            </w:r>
          </w:p>
        </w:tc>
        <w:tc>
          <w:tcPr>
            <w:tcW w:type="dxa" w:w="40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7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right w:val="single" w:color="auto" w:sz="4"/>
              <w:top w:val="single" w:color="auto" w:sz="4"/>
            </w:tcBorders>
          </w:tcPr>
          <w:p>
            <w:pPr>
              <w:jc w:val="right"/>
              <w:rPr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8"/>
          <w:cantSplit/>
        </w:trPr>
        <w:tc>
          <w:tcPr>
            <w:tcW w:type="dxa" w:w="36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 </w:t>
            </w:r>
          </w:p>
        </w:tc>
        <w:tc>
          <w:tcPr>
            <w:tcW w:type="dxa" w:w="17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3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0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4"/>
            <w:tcBorders>
              <w:bottom w:val="nil" w:color="auto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8"/>
          <w:cantSplit/>
        </w:trPr>
        <w:tc>
          <w:tcPr>
            <w:tcW w:type="dxa" w:w="36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nil" w:color="auto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No. of other </w:t>
            </w:r>
            <w:r>
              <w:rPr>
                <w:sz w:val="22"/>
                <w:szCs w:val="22"/>
                <w:rFonts w:ascii="Arial" w:hAnsi="Arial" w:cs="Arial"/>
              </w:rPr>
              <w:t xml:space="preserve">classes of </w:t>
            </w:r>
            <w:r>
              <w:rPr>
                <w:sz w:val="22"/>
                <w:szCs w:val="22"/>
                <w:rFonts w:ascii="Arial" w:hAnsi="Arial" w:cs="Arial"/>
              </w:rPr>
              <w:t>shares</w:t>
            </w:r>
          </w:p>
        </w:tc>
        <w:tc>
          <w:tcPr>
            <w:tcW w:type="dxa" w:w="13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Par value</w:t>
            </w:r>
          </w:p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i w:val="1"/>
                <w:sz w:val="22"/>
                <w:szCs w:val="22"/>
                <w:rFonts w:ascii="Arial" w:hAnsi="Arial" w:cs="Arial"/>
              </w:rPr>
              <w:t xml:space="preserve">(State </w:t>
            </w:r>
            <w:r>
              <w:rPr>
                <w:i w:val="1"/>
                <w:sz w:val="22"/>
                <w:szCs w:val="22"/>
                <w:rFonts w:ascii="Arial" w:hAnsi="Arial" w:cs="Arial"/>
              </w:rPr>
              <w:t>currency)</w:t>
            </w:r>
          </w:p>
        </w:tc>
        <w:tc>
          <w:tcPr>
            <w:tcW w:type="dxa" w:w="20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4"/>
            <w:tcBorders>
              <w:bottom w:val="nil" w:color="auto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Authorised share </w:t>
            </w:r>
            <w:r>
              <w:rPr>
                <w:sz w:val="22"/>
                <w:szCs w:val="22"/>
                <w:rFonts w:ascii="Arial" w:hAnsi="Arial" w:cs="Arial"/>
              </w:rPr>
              <w:t xml:space="preserve">capital </w:t>
            </w:r>
          </w:p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i w:val="1"/>
                <w:sz w:val="22"/>
                <w:szCs w:val="22"/>
                <w:rFonts w:ascii="Arial" w:hAnsi="Arial" w:cs="Arial"/>
              </w:rPr>
              <w:t xml:space="preserve">(State currency)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5"/>
          <w:cantSplit/>
        </w:trPr>
        <w:tc>
          <w:tcPr>
            <w:tcW w:type="dxa" w:w="36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Balance at close of preceding month</w:t>
            </w:r>
          </w:p>
        </w:tc>
        <w:tc>
          <w:tcPr>
            <w:tcW w:type="dxa" w:w="17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85"/>
          <w:cantSplit/>
        </w:trPr>
        <w:tc>
          <w:tcPr>
            <w:tcW w:type="dxa" w:w="36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>Increase/(decrease)</w:t>
            </w:r>
          </w:p>
        </w:tc>
        <w:tc>
          <w:tcPr>
            <w:tcW w:type="dxa" w:w="17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0"/>
          <w:cantSplit/>
        </w:trPr>
        <w:tc>
          <w:tcPr>
            <w:tcW w:type="dxa" w:w="36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  <w:tcBorders>
              <w:bottom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type="dxa" w:w="17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30"/>
          <w:cantSplit/>
        </w:trPr>
        <w:tc>
          <w:tcPr>
            <w:tcW w:type="dxa" w:w="36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Balance at close of the month</w:t>
            </w:r>
          </w:p>
        </w:tc>
        <w:tc>
          <w:tcPr>
            <w:tcW w:type="dxa" w:w="17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15"/>
          <w:cantSplit/>
        </w:trPr>
        <w:tc>
          <w:tcPr>
            <w:tcW w:type="dxa" w:w="164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auto" w:sz="4"/>
              <w:right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2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34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gridSpan w:val="5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81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gridSpan w:val="3"/>
            <w:tcBorders>
              <w:bottom w:val="single" w:color="auto" w:sz="4"/>
              <w:left w:val="nil" w:color="auto"/>
              <w:top w:val="nil" w:color="auto"/>
            </w:tcBorders>
          </w:tcPr>
          <w:p>
            <w:pPr>
              <w:jc w:val="right"/>
              <w:rPr>
                <w:sz w:val="22"/>
                <w:szCs w:val="22"/>
                <w:rFonts w:ascii="Arial" w:hAnsi="Arial" w:cs="Arial"/>
              </w:rPr>
            </w:pPr>
          </w:p>
        </w:tc>
      </w:tr>
    </w:tbl>
    <w:p>
      <w:pPr>
        <w:rPr>
          <w:sz w:val="22"/>
          <w:szCs w:val="22"/>
          <w:rFonts w:ascii="Arial" w:hAnsi="Arial" w:cs="Arial"/>
        </w:rPr>
      </w:pPr>
    </w:p>
    <w:tbl>
      <w:tblID w:val="0"/>
      <w:tblPr>
        <w:tblBorders>
          <w:insideH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6048"/>
        <w:gridCol w:w="252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604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Total authorised share capital at the end of the month </w:t>
            </w:r>
            <w:r>
              <w:rPr>
                <w:i w:val="1"/>
                <w:sz w:val="22"/>
                <w:szCs w:val="22"/>
                <w:rFonts w:ascii="Arial" w:hAnsi="Arial" w:cs="Arial"/>
              </w:rPr>
              <w:t xml:space="preserve">(State currency)</w:t>
            </w:r>
            <w:r>
              <w:rPr>
                <w:sz w:val="22"/>
                <w:szCs w:val="22"/>
                <w:rFonts w:ascii="Arial" w:hAnsi="Arial" w:cs="Arial"/>
              </w:rPr>
              <w:t xml:space="preserve"> :</w:t>
            </w:r>
          </w:p>
        </w:tc>
        <w:tc>
          <w:tcPr>
            <w:tcW w:type="dxa" w:w="25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eastAsia="宋体" w:hAnsi="Arial" w:cs="Arial" w:hint="eastAsia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HK$2,000,000,000.00</w:t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PO7"/>
        <w:rPr>
          <w:sz w:val="24"/>
          <w:szCs w:val="24"/>
          <w:rFonts w:ascii="Arial" w:hAnsi="Arial" w:cs="Arial"/>
        </w:rPr>
      </w:pPr>
    </w:p>
    <w:p>
      <w:pPr>
        <w:pStyle w:val="PO7"/>
        <w:rPr>
          <w:b w:val="0"/>
          <w:sz w:val="22"/>
          <w:szCs w:val="22"/>
          <w:rFonts w:ascii="Arial" w:hAnsi="Arial" w:cs="Arial"/>
        </w:rPr>
      </w:pPr>
      <w:r>
        <w:br w:type="page"/>
      </w:r>
      <w:r>
        <w:rPr>
          <w:b w:val="0"/>
          <w:sz w:val="22"/>
          <w:szCs w:val="22"/>
          <w:rFonts w:ascii="Arial" w:hAnsi="Arial" w:cs="Arial"/>
        </w:rPr>
        <w:t xml:space="preserve">II. Movements in Issued Share Capital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top w:w="0" w:type="dxa"/>
          <w:right w:w="28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>
        <w:trPr>
          <w:trHeight w:hRule="atleast" w:val="332"/>
          <w:cantSplit/>
        </w:trPr>
        <w:tc>
          <w:tcPr>
            <w:tcW w:type="dxa" w:w="2188"/>
            <w:vAlign w:val="bottom"/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3060"/>
            <w:vAlign w:val="bottom"/>
            <w:gridSpan w:val="5"/>
            <w:tcBorders>
              <w:bottom w:val="nil" w:color="auto"/>
              <w:top w:val="single" w:color="auto" w:sz="4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No. of ordinary shares</w:t>
            </w:r>
          </w:p>
        </w:tc>
        <w:tc>
          <w:tcPr>
            <w:tcW w:type="dxa" w:w="1710"/>
            <w:vAlign w:val="bottom"/>
            <w:gridSpan w:val="3"/>
            <w:vMerge w:val="restart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No of preference </w:t>
            </w:r>
            <w:r>
              <w:rPr>
                <w:sz w:val="22"/>
                <w:szCs w:val="22"/>
                <w:rFonts w:ascii="Arial" w:hAnsi="Arial" w:cs="Arial"/>
              </w:rPr>
              <w:t>shares</w:t>
            </w:r>
          </w:p>
        </w:tc>
        <w:tc>
          <w:tcPr>
            <w:tcW w:type="dxa" w:w="1800"/>
            <w:vAlign w:val="bottom"/>
            <w:gridSpan w:val="3"/>
            <w:vMerge w:val="restart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No. of other </w:t>
            </w:r>
            <w:r>
              <w:rPr>
                <w:sz w:val="22"/>
                <w:szCs w:val="22"/>
                <w:rFonts w:ascii="Arial" w:hAnsi="Arial" w:cs="Arial"/>
              </w:rPr>
              <w:t xml:space="preserve">classes of shares</w:t>
            </w:r>
          </w:p>
        </w:tc>
      </w:tr>
      <w:tr>
        <w:trPr>
          <w:trHeight w:hRule="atleast" w:val="332"/>
          <w:cantSplit/>
        </w:trPr>
        <w:tc>
          <w:tcPr>
            <w:tcW w:type="dxa" w:w="2188"/>
            <w:vAlign w:val="bottom"/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53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>(1)</w:t>
            </w:r>
          </w:p>
        </w:tc>
        <w:tc>
          <w:tcPr>
            <w:tcW w:type="dxa" w:w="1530"/>
            <w:vAlign w:val="bottom"/>
            <w:gridSpan w:val="3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>(2)</w:t>
            </w:r>
          </w:p>
        </w:tc>
        <w:tc>
          <w:tcPr>
            <w:tcW w:type="dxa" w:w="1710"/>
            <w:vAlign w:val="bottom"/>
            <w:gridSpan w:val="3"/>
            <w:vMerge/>
            <w:tcBorders>
              <w:bottom w:val="single" w:color="auto" w:sz="4"/>
              <w:top w:val="single" w:color="auto" w:sz="4"/>
            </w:tcBorders>
          </w:tcPr>
          <w:p/>
        </w:tc>
        <w:tc>
          <w:tcPr>
            <w:tcW w:type="dxa" w:w="1800"/>
            <w:vAlign w:val="bottom"/>
            <w:gridSpan w:val="3"/>
            <w:vMerge/>
            <w:tcBorders>
              <w:bottom w:val="single" w:color="auto" w:sz="4"/>
              <w:top w:val="single" w:color="auto" w:sz="4"/>
            </w:tcBorders>
          </w:tcPr>
          <w:p/>
        </w:tc>
      </w:tr>
      <w:tr>
        <w:trPr>
          <w:trHeight w:hRule="atleast" w:val="782"/>
          <w:cantSplit/>
        </w:trPr>
        <w:tc>
          <w:tcPr>
            <w:tcW w:type="dxa" w:w="2188"/>
            <w:vAlign w:val="bottom"/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Balance at close of </w:t>
            </w:r>
            <w:r>
              <w:rPr>
                <w:sz w:val="22"/>
                <w:szCs w:val="22"/>
                <w:rFonts w:ascii="Arial" w:hAnsi="Arial" w:cs="Arial"/>
              </w:rPr>
              <w:t xml:space="preserve">preceding month</w:t>
            </w:r>
          </w:p>
        </w:tc>
        <w:tc>
          <w:tcPr>
            <w:tcW w:type="dxa" w:w="144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b w:val="1"/>
                <w:sz w:val="20"/>
                <w:szCs w:val="20"/>
                <w:rFonts w:ascii="Arial" w:eastAsia="宋体" w:hAnsi="Arial" w:cs="Arial" w:hint="eastAsia"/>
              </w:rPr>
              <w:t>833,</w:t>
            </w:r>
            <w:r>
              <w:rPr>
                <w:b w:val="1"/>
                <w:sz w:val="20"/>
                <w:szCs w:val="20"/>
                <w:rFonts w:ascii="Arial" w:eastAsia="宋体" w:hAnsi="Arial" w:cs="Arial"/>
              </w:rPr>
              <w:t>26</w:t>
            </w:r>
            <w:r>
              <w:rPr>
                <w:b w:val="1"/>
                <w:sz w:val="20"/>
                <w:szCs w:val="20"/>
                <w:rFonts w:ascii="Arial" w:eastAsia="宋体" w:hAnsi="Arial" w:cs="Arial" w:hint="eastAsia"/>
              </w:rPr>
              <w:t>0,000</w:t>
            </w: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53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53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top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738"/>
          <w:cantSplit/>
        </w:trPr>
        <w:tc>
          <w:tcPr>
            <w:tcW w:type="dxa" w:w="2188"/>
            <w:vAlign w:val="bottom"/>
            <w:tcBorders>
              <w:bottom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Increase/ (decrease) </w:t>
            </w:r>
            <w:r>
              <w:rPr>
                <w:sz w:val="22"/>
                <w:szCs w:val="22"/>
                <w:rFonts w:ascii="Arial" w:hAnsi="Arial" w:cs="Arial"/>
              </w:rPr>
              <w:t xml:space="preserve">during the month</w:t>
            </w:r>
          </w:p>
        </w:tc>
        <w:tc>
          <w:tcPr>
            <w:tcW w:type="dxa" w:w="144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/>
              </w:rPr>
              <w:t>N/A</w:t>
            </w: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53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53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top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702"/>
          <w:cantSplit/>
        </w:trPr>
        <w:tc>
          <w:tcPr>
            <w:tcW w:type="dxa" w:w="2188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Balance at close of </w:t>
            </w:r>
            <w:r>
              <w:rPr>
                <w:sz w:val="22"/>
                <w:szCs w:val="22"/>
                <w:rFonts w:ascii="Arial" w:hAnsi="Arial" w:cs="Arial"/>
              </w:rPr>
              <w:t xml:space="preserve">the month</w:t>
            </w:r>
          </w:p>
        </w:tc>
        <w:tc>
          <w:tcPr>
            <w:tcW w:type="dxa" w:w="144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b w:val="1"/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b w:val="1"/>
                <w:sz w:val="20"/>
                <w:szCs w:val="20"/>
                <w:rFonts w:ascii="Arial" w:eastAsia="宋体" w:hAnsi="Arial" w:cs="Arial" w:hint="eastAsia"/>
              </w:rPr>
              <w:t>833,</w:t>
            </w:r>
            <w:r>
              <w:rPr>
                <w:b w:val="1"/>
                <w:sz w:val="20"/>
                <w:szCs w:val="20"/>
                <w:rFonts w:ascii="Arial" w:eastAsia="宋体" w:hAnsi="Arial" w:cs="Arial"/>
              </w:rPr>
              <w:t>26</w:t>
            </w:r>
            <w:r>
              <w:rPr>
                <w:b w:val="1"/>
                <w:sz w:val="20"/>
                <w:szCs w:val="20"/>
                <w:rFonts w:ascii="Arial" w:eastAsia="宋体" w:hAnsi="Arial" w:cs="Arial" w:hint="eastAsia"/>
              </w:rPr>
              <w:t>0,000</w:t>
            </w: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pStyle w:val="PO159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  <w:snapToGrid w:val="on"/>
            </w:pPr>
          </w:p>
        </w:tc>
        <w:tc>
          <w:tcPr>
            <w:tcW w:type="dxa" w:w="135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pStyle w:val="PO159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  <w:snapToGrid w:val="on"/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53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53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top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314"/>
          <w:cantSplit/>
        </w:trPr>
        <w:tc>
          <w:tcPr>
            <w:tcW w:type="dxa" w:w="5338"/>
            <w:vAlign w:val="bottom"/>
            <w:gridSpan w:val="7"/>
            <w:tcBorders>
              <w:bottom w:val="single" w:color="auto" w:sz="4"/>
              <w:right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3420"/>
            <w:vAlign w:val="bottom"/>
            <w:gridSpan w:val="5"/>
            <w:tcBorders>
              <w:bottom w:val="single" w:color="auto" w:sz="4"/>
              <w:left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pStyle w:val="PO7"/>
        <w:rPr>
          <w:b w:val="0"/>
          <w:sz w:val="22"/>
          <w:szCs w:val="22"/>
          <w:rFonts w:ascii="Arial" w:hAnsi="Arial" w:cs="Arial"/>
        </w:rPr>
      </w:pPr>
      <w:r>
        <w:rPr>
          <w:b w:val="0"/>
          <w:sz w:val="22"/>
          <w:szCs w:val="22"/>
          <w:rFonts w:ascii="Arial" w:hAnsi="Arial" w:cs="Arial"/>
        </w:rPr>
        <w:t xml:space="preserve">III. Details of Movements in Issued Share Capital</w:t>
      </w:r>
    </w:p>
    <w:p>
      <w:pPr>
        <w:rPr>
          <w:rFonts w:ascii="Arial" w:hAnsi="Arial" w:cs="Arial"/>
        </w:rPr>
      </w:pPr>
    </w:p>
    <w:p>
      <w:pPr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 w:cs="Arial"/>
        </w:rPr>
        <w:t xml:space="preserve">Share Options (under Share Option Schemes of the Issuer)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top w:w="0" w:type="dxa"/>
          <w:right w:w="28" w:type="dxa"/>
          <w:bottom w:w="0" w:type="dxa"/>
        </w:tblCellMar>
        <w:tblW w:w="10691" w:type="dxa"/>
        <w:tblInd w:w="-398" w:type="dxa"/>
        <w:tblLook w:val="000000" w:firstRow="0" w:lastRow="0" w:firstColumn="0" w:lastColumn="0" w:noHBand="0" w:noVBand="0"/>
        <w:tblLayout w:type="fixed"/>
      </w:tblPr>
      <w:tblGrid>
        <w:gridCol w:w="118"/>
        <w:gridCol w:w="1753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>
        <w:trPr>
          <w:trHeight w:hRule="atleast" w:val="982"/>
          <w:cantSplit/>
        </w:trPr>
        <w:tc>
          <w:tcPr>
            <w:tcW w:type="dxa" w:w="1961"/>
            <w:vAlign w:val="center"/>
            <w:gridSpan w:val="3"/>
            <w:vMerge w:val="restart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Particulars of share </w:t>
            </w:r>
            <w:r>
              <w:rPr>
                <w:sz w:val="20"/>
                <w:szCs w:val="20"/>
                <w:rFonts w:ascii="Arial" w:hAnsi="Arial" w:cs="Arial"/>
              </w:rPr>
              <w:t xml:space="preserve">option scheme</w:t>
            </w:r>
          </w:p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including EGM </w:t>
            </w:r>
            <w:r>
              <w:rPr>
                <w:sz w:val="20"/>
                <w:szCs w:val="20"/>
                <w:rFonts w:ascii="Arial" w:hAnsi="Arial" w:cs="Arial"/>
              </w:rPr>
              <w:t xml:space="preserve">approval date</w:t>
            </w:r>
          </w:p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(dd/mm/yyyy) and </w:t>
            </w: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>issuable</w:t>
            </w:r>
          </w:p>
        </w:tc>
        <w:tc>
          <w:tcPr>
            <w:tcW w:type="dxa" w:w="4860"/>
            <w:vAlign w:val="bottom"/>
            <w:gridSpan w:val="14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Movement during the month</w:t>
            </w:r>
          </w:p>
        </w:tc>
        <w:tc>
          <w:tcPr>
            <w:tcW w:type="dxa" w:w="1920"/>
            <w:vAlign w:val="top"/>
            <w:gridSpan w:val="4"/>
            <w:vMerge w:val="restart"/>
            <w:tcBorders>
              <w:bottom w:val="nil" w:color="auto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No. of new shares of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issuer issued during </w:t>
            </w:r>
            <w:r>
              <w:rPr>
                <w:sz w:val="20"/>
                <w:szCs w:val="20"/>
                <w:rFonts w:ascii="Arial" w:hAnsi="Arial" w:cs="Arial"/>
              </w:rPr>
              <w:t xml:space="preserve">the month pursuant </w:t>
            </w:r>
            <w:r>
              <w:rPr>
                <w:sz w:val="20"/>
                <w:szCs w:val="20"/>
                <w:rFonts w:ascii="Arial" w:hAnsi="Arial" w:cs="Arial"/>
              </w:rPr>
              <w:t>thereto</w:t>
            </w:r>
          </w:p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50"/>
            <w:vAlign w:val="top"/>
            <w:gridSpan w:val="2"/>
            <w:vMerge w:val="restart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No. of new shares of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issuer which may be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issued pursuant </w:t>
            </w:r>
            <w:r>
              <w:rPr>
                <w:sz w:val="20"/>
                <w:szCs w:val="20"/>
                <w:rFonts w:ascii="Arial" w:hAnsi="Arial" w:cs="Arial"/>
              </w:rPr>
              <w:t xml:space="preserve">thereto as at close of </w:t>
            </w:r>
            <w:r>
              <w:rPr>
                <w:sz w:val="20"/>
                <w:szCs w:val="20"/>
                <w:rFonts w:ascii="Arial" w:hAnsi="Arial" w:cs="Arial"/>
              </w:rPr>
              <w:t xml:space="preserve">the month</w:t>
            </w:r>
          </w:p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982"/>
          <w:cantSplit/>
        </w:trPr>
        <w:tc>
          <w:tcPr>
            <w:tcW w:type="dxa" w:w="1961"/>
            <w:vAlign w:val="center"/>
            <w:gridSpan w:val="3"/>
            <w:vMerge/>
            <w:tcBorders>
              <w:bottom w:val="single" w:color="auto" w:sz="4"/>
              <w:top w:val="single" w:color="auto" w:sz="4"/>
            </w:tcBorders>
          </w:tcPr>
          <w:p/>
        </w:tc>
        <w:tc>
          <w:tcPr>
            <w:tcW w:type="dxa" w:w="1260"/>
            <w:vAlign w:val="bottom"/>
            <w:gridSpan w:val="3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Granted</w:t>
            </w:r>
          </w:p>
        </w:tc>
        <w:tc>
          <w:tcPr>
            <w:tcW w:type="dxa" w:w="1260"/>
            <w:vAlign w:val="bottom"/>
            <w:gridSpan w:val="3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Exercised</w:t>
            </w:r>
          </w:p>
        </w:tc>
        <w:tc>
          <w:tcPr>
            <w:tcW w:type="dxa" w:w="1260"/>
            <w:vAlign w:val="bottom"/>
            <w:gridSpan w:val="4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Cancelled</w:t>
            </w:r>
          </w:p>
        </w:tc>
        <w:tc>
          <w:tcPr>
            <w:tcW w:type="dxa" w:w="1080"/>
            <w:vAlign w:val="bottom"/>
            <w:gridSpan w:val="4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Lapsed</w:t>
            </w:r>
          </w:p>
        </w:tc>
        <w:tc>
          <w:tcPr>
            <w:tcW w:type="dxa" w:w="1920"/>
            <w:vAlign w:val="top"/>
            <w:gridSpan w:val="4"/>
            <w:vMerge/>
            <w:tcBorders>
              <w:bottom w:val="nil" w:color="auto"/>
              <w:top w:val="single" w:color="auto" w:sz="4"/>
            </w:tcBorders>
          </w:tcPr>
          <w:p/>
        </w:tc>
        <w:tc>
          <w:tcPr>
            <w:tcW w:type="dxa" w:w="1950"/>
            <w:vAlign w:val="top"/>
            <w:gridSpan w:val="2"/>
            <w:vMerge/>
            <w:tcBorders>
              <w:bottom w:val="single" w:color="auto" w:sz="4"/>
              <w:top w:val="single" w:color="auto" w:sz="4"/>
            </w:tcBorders>
          </w:tcPr>
          <w:p/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numPr>
                <w:ilvl w:val="0"/>
                <w:numId w:val="10"/>
              </w:num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>N/A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eastAsia="宋体" w:hAnsi="Arial" w:cs="Arial" w:hint="eastAsia"/>
              </w:rPr>
            </w:pPr>
            <w:r>
              <w:rPr>
                <w:sz w:val="22"/>
                <w:szCs w:val="22"/>
                <w:rFonts w:ascii="Arial" w:eastAsia="宋体" w:hAnsi="Arial" w:cs="Arial"/>
              </w:rPr>
              <w:t xml:space="preserve"> 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eastAsia="宋体" w:hAnsi="Arial" w:cs="Arial" w:hint="eastAsia"/>
              </w:rPr>
            </w:pPr>
            <w:r>
              <w:rPr>
                <w:sz w:val="22"/>
                <w:szCs w:val="22"/>
                <w:rFonts w:ascii="Arial" w:eastAsia="宋体" w:hAnsi="Arial" w:cs="Arial"/>
              </w:rPr>
              <w:t xml:space="preserve">  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  </w:t>
            </w: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2"/>
                <w:szCs w:val="22"/>
                <w:rFonts w:ascii="Arial" w:hAnsi="Arial" w:cs="Arial"/>
              </w:rPr>
              <w:wordWrap w:val="off"/>
            </w:pPr>
            <w:r>
              <w:rPr>
                <w:sz w:val="22"/>
                <w:szCs w:val="22"/>
                <w:rFonts w:ascii="Arial" w:hAnsi="Arial" w:cs="Arial"/>
              </w:rPr>
              <w:t xml:space="preserve">Ordinary shares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eastAsia="宋体" w:hAnsi="Arial" w:cs="Arial" w:hint="eastAsia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eastAsia="宋体" w:hAnsi="Arial" w:cs="Arial" w:hint="eastAsia"/>
              </w:rPr>
            </w:pPr>
          </w:p>
        </w:tc>
        <w:tc>
          <w:tcPr>
            <w:tcW w:type="dxa" w:w="108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eastAsia="宋体" w:hAnsi="Arial" w:cs="Arial" w:hint="eastAsia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eastAsia="宋体" w:hAnsi="Arial" w:cs="Arial" w:hint="eastAsia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eastAsia="宋体" w:hAnsi="Arial" w:cs="Arial" w:hint="eastAsia"/>
              </w:rPr>
            </w:pPr>
          </w:p>
        </w:tc>
        <w:tc>
          <w:tcPr>
            <w:tcW w:type="dxa" w:w="90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rPr>
                <w:sz w:val="22"/>
                <w:szCs w:val="22"/>
                <w:rFonts w:ascii="Arial" w:eastAsia="宋体" w:hAnsi="Arial" w:cs="Arial" w:hint="eastAsia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eastAsia="宋体" w:hAnsi="Arial" w:cs="Arial" w:hint="eastAsia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>2.N/A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  </w:t>
            </w: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>shares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>3.N/A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  </w:t>
            </w: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>shares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180"/>
            <w:vAlign w:val="center"/>
            <w:gridSpan w:val="2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3420"/>
            <w:vAlign w:val="center"/>
            <w:gridSpan w:val="9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Total A.   (Ordinary shares)</w:t>
            </w: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/>
              </w:rPr>
              <w:t>NIL</w:t>
            </w: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160"/>
            <w:vAlign w:val="center"/>
            <w:gridSpan w:val="6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(Preference shares)</w:t>
            </w: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type="dxa" w:w="118"/>
            <w:vAlign w:val="center"/>
            <w:tcBorders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753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08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2160"/>
            <w:vAlign w:val="center"/>
            <w:gridSpan w:val="6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(Other class)</w:t>
            </w:r>
          </w:p>
        </w:tc>
        <w:tc>
          <w:tcPr>
            <w:tcW w:type="dxa" w:w="9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00"/>
            <w:vAlign w:val="center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240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2"/>
                <w:szCs w:val="22"/>
                <w:rFonts w:ascii="Arial" w:hAnsi="Arial" w:cs="Arial"/>
              </w:rPr>
            </w:pPr>
          </w:p>
        </w:tc>
        <w:tc>
          <w:tcPr>
            <w:tcW w:type="dxa" w:w="1830"/>
            <w:vAlign w:val="center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502"/>
          <w:cantSplit/>
        </w:trPr>
        <w:tc>
          <w:tcPr>
            <w:tcW w:type="dxa" w:w="4901"/>
            <w:vAlign w:val="bottom"/>
            <w:gridSpan w:val="11"/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Total funds raised during the month from exercise of </w:t>
            </w:r>
            <w:r>
              <w:rPr>
                <w:sz w:val="20"/>
                <w:szCs w:val="20"/>
                <w:rFonts w:ascii="Arial" w:hAnsi="Arial" w:cs="Arial"/>
              </w:rPr>
              <w:t xml:space="preserve">options (State currency)</w:t>
            </w:r>
          </w:p>
        </w:tc>
        <w:tc>
          <w:tcPr>
            <w:tcW w:type="dxa" w:w="2520"/>
            <w:vAlign w:val="center"/>
            <w:gridSpan w:val="7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/>
              </w:rPr>
              <w:t>NIL</w:t>
            </w:r>
          </w:p>
        </w:tc>
        <w:tc>
          <w:tcPr>
            <w:tcW w:type="dxa" w:w="3270"/>
            <w:vAlign w:val="bottom"/>
            <w:gridSpan w:val="5"/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53"/>
          <w:cantSplit/>
        </w:trPr>
        <w:tc>
          <w:tcPr>
            <w:tcW w:type="dxa" w:w="1961"/>
            <w:vAlign w:val="center"/>
            <w:gridSpan w:val="3"/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4230"/>
            <w:vAlign w:val="center"/>
            <w:gridSpan w:val="12"/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710"/>
            <w:vAlign w:val="center"/>
            <w:gridSpan w:val="4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center"/>
            <w:gridSpan w:val="4"/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</w:tbl>
    <w:p>
      <w:pPr>
        <w:rPr>
          <w:sz w:val="20"/>
          <w:szCs w:val="20"/>
          <w:rFonts w:ascii="Arial" w:hAnsi="Arial" w:cs="Arial"/>
        </w:rPr>
      </w:pPr>
      <w:r>
        <w:br w:type="page"/>
      </w:r>
      <w:r>
        <w:rPr>
          <w:sz w:val="20"/>
          <w:szCs w:val="20"/>
          <w:rFonts w:ascii="Arial" w:hAnsi="Arial" w:cs="Arial"/>
        </w:rPr>
        <w:t xml:space="preserve">Warrants to Issue Shares of the Issuer which are to be Listed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top w:w="0" w:type="dxa"/>
          <w:right w:w="28" w:type="dxa"/>
          <w:bottom w:w="0" w:type="dxa"/>
        </w:tblCellMar>
        <w:tblW w:w="10378" w:type="dxa"/>
        <w:tblLook w:val="000000" w:firstRow="0" w:lastRow="0" w:firstColumn="0" w:lastColumn="0" w:noHBand="0" w:noVBand="0"/>
        <w:tblLayout w:type="fixed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>
        <w:trPr>
          <w:trHeight w:hRule="atleast" w:val="818"/>
          <w:tblHeader/>
          <w:cantSplit/>
        </w:trPr>
        <w:tc>
          <w:tcPr>
            <w:tcW w:type="dxa" w:w="2908"/>
            <w:vAlign w:val="bottom"/>
            <w:gridSpan w:val="4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Description of warrants</w:t>
            </w:r>
          </w:p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(Date of expiry - dd/mm/yyyy)</w:t>
            </w:r>
          </w:p>
        </w:tc>
        <w:tc>
          <w:tcPr>
            <w:tcW w:type="dxa" w:w="1080"/>
            <w:vAlign w:val="bottom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Currency </w:t>
            </w:r>
            <w:r>
              <w:rPr>
                <w:sz w:val="20"/>
                <w:szCs w:val="20"/>
                <w:rFonts w:ascii="Arial" w:hAnsi="Arial" w:cs="Arial"/>
              </w:rPr>
              <w:t xml:space="preserve">of nominal </w:t>
            </w:r>
            <w:r>
              <w:rPr>
                <w:sz w:val="20"/>
                <w:szCs w:val="20"/>
                <w:rFonts w:ascii="Arial" w:hAnsi="Arial" w:cs="Arial"/>
              </w:rPr>
              <w:t>value</w:t>
            </w:r>
          </w:p>
        </w:tc>
        <w:tc>
          <w:tcPr>
            <w:tcW w:type="dxa" w:w="1440"/>
            <w:vAlign w:val="bottom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Nominal value </w:t>
            </w:r>
            <w:r>
              <w:rPr>
                <w:sz w:val="20"/>
                <w:szCs w:val="20"/>
                <w:rFonts w:ascii="Arial" w:hAnsi="Arial" w:cs="Arial"/>
              </w:rPr>
              <w:t xml:space="preserve">at close of </w:t>
            </w:r>
            <w:r>
              <w:rPr>
                <w:sz w:val="20"/>
                <w:szCs w:val="20"/>
                <w:rFonts w:ascii="Arial" w:hAnsi="Arial" w:cs="Arial"/>
              </w:rPr>
              <w:t xml:space="preserve">preceding </w:t>
            </w:r>
            <w:r>
              <w:rPr>
                <w:sz w:val="20"/>
                <w:szCs w:val="20"/>
                <w:rFonts w:ascii="Arial" w:hAnsi="Arial" w:cs="Arial"/>
              </w:rPr>
              <w:t>month</w:t>
            </w:r>
          </w:p>
        </w:tc>
        <w:tc>
          <w:tcPr>
            <w:tcW w:type="dxa" w:w="117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Exercised </w:t>
            </w:r>
            <w:r>
              <w:rPr>
                <w:sz w:val="20"/>
                <w:szCs w:val="20"/>
                <w:rFonts w:ascii="Arial" w:hAnsi="Arial" w:cs="Arial"/>
              </w:rPr>
              <w:t xml:space="preserve">during the </w:t>
            </w:r>
            <w:r>
              <w:rPr>
                <w:sz w:val="20"/>
                <w:szCs w:val="20"/>
                <w:rFonts w:ascii="Arial" w:hAnsi="Arial" w:cs="Arial"/>
              </w:rPr>
              <w:t>month</w:t>
            </w:r>
          </w:p>
        </w:tc>
        <w:tc>
          <w:tcPr>
            <w:tcW w:type="dxa" w:w="1350"/>
            <w:vAlign w:val="bottom"/>
            <w:gridSpan w:val="4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Nominal value </w:t>
            </w:r>
            <w:r>
              <w:rPr>
                <w:sz w:val="20"/>
                <w:szCs w:val="20"/>
                <w:rFonts w:ascii="Arial" w:hAnsi="Arial" w:cs="Arial"/>
              </w:rPr>
              <w:t xml:space="preserve">at close of the </w:t>
            </w:r>
            <w:r>
              <w:rPr>
                <w:sz w:val="20"/>
                <w:szCs w:val="20"/>
                <w:rFonts w:ascii="Arial" w:hAnsi="Arial" w:cs="Arial"/>
              </w:rPr>
              <w:t>month</w:t>
            </w:r>
          </w:p>
        </w:tc>
        <w:tc>
          <w:tcPr>
            <w:tcW w:type="dxa" w:w="1170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No. of new </w:t>
            </w:r>
            <w:r>
              <w:rPr>
                <w:sz w:val="20"/>
                <w:szCs w:val="20"/>
                <w:rFonts w:ascii="Arial" w:hAnsi="Arial" w:cs="Arial"/>
              </w:rPr>
              <w:t xml:space="preserve">shares of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issuer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issued </w:t>
            </w:r>
            <w:r>
              <w:rPr>
                <w:sz w:val="20"/>
                <w:szCs w:val="20"/>
                <w:rFonts w:ascii="Arial" w:hAnsi="Arial" w:cs="Arial"/>
              </w:rPr>
              <w:t xml:space="preserve">during the </w:t>
            </w:r>
            <w:r>
              <w:rPr>
                <w:sz w:val="20"/>
                <w:szCs w:val="20"/>
                <w:rFonts w:ascii="Arial" w:hAnsi="Arial" w:cs="Arial"/>
              </w:rPr>
              <w:t xml:space="preserve">month </w:t>
            </w:r>
            <w:r>
              <w:rPr>
                <w:sz w:val="20"/>
                <w:szCs w:val="20"/>
                <w:rFonts w:ascii="Arial" w:hAnsi="Arial" w:cs="Arial"/>
              </w:rPr>
              <w:t xml:space="preserve">pursuant </w:t>
            </w:r>
            <w:r>
              <w:rPr>
                <w:sz w:val="20"/>
                <w:szCs w:val="20"/>
                <w:rFonts w:ascii="Arial" w:hAnsi="Arial" w:cs="Arial"/>
              </w:rPr>
              <w:t>thereto</w:t>
            </w:r>
          </w:p>
        </w:tc>
        <w:tc>
          <w:tcPr>
            <w:tcW w:type="dxa" w:w="1260"/>
            <w:vAlign w:val="bottom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No. of new </w:t>
            </w:r>
            <w:r>
              <w:rPr>
                <w:sz w:val="20"/>
                <w:szCs w:val="20"/>
                <w:rFonts w:ascii="Arial" w:hAnsi="Arial" w:cs="Arial"/>
              </w:rPr>
              <w:t xml:space="preserve">shares of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issuer which </w:t>
            </w:r>
            <w:r>
              <w:rPr>
                <w:sz w:val="20"/>
                <w:szCs w:val="20"/>
                <w:rFonts w:ascii="Arial" w:hAnsi="Arial" w:cs="Arial"/>
              </w:rPr>
              <w:t xml:space="preserve">may be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issued </w:t>
            </w:r>
            <w:r>
              <w:rPr>
                <w:sz w:val="20"/>
                <w:szCs w:val="20"/>
                <w:rFonts w:ascii="Arial" w:hAnsi="Arial" w:cs="Arial"/>
              </w:rPr>
              <w:t xml:space="preserve">pursuant </w:t>
            </w:r>
            <w:r>
              <w:rPr>
                <w:sz w:val="20"/>
                <w:szCs w:val="20"/>
                <w:rFonts w:ascii="Arial" w:hAnsi="Arial" w:cs="Arial"/>
              </w:rPr>
              <w:t xml:space="preserve">thereto as at </w:t>
            </w:r>
            <w:r>
              <w:rPr>
                <w:sz w:val="20"/>
                <w:szCs w:val="20"/>
                <w:rFonts w:ascii="Arial" w:hAnsi="Arial" w:cs="Arial"/>
              </w:rPr>
              <w:t xml:space="preserve">close of the </w:t>
            </w:r>
            <w:r>
              <w:rPr>
                <w:sz w:val="20"/>
                <w:szCs w:val="20"/>
                <w:rFonts w:ascii="Arial" w:hAnsi="Arial" w:cs="Arial"/>
              </w:rPr>
              <w:t>month</w:t>
            </w: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numPr>
                <w:ilvl w:val="0"/>
                <w:numId w:val="2"/>
              </w:numPr>
              <w:ind w:left="242" w:hanging="242"/>
              <w:tabs>
                <w:tab w:val="left" w:pos="242"/>
                <w:tab w:val="clear" w:pos="360"/>
              </w:tabs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6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4"/>
            <w:vAlign w:val="top"/>
            <w:tcBorders>
              <w:bottom w:val="nil" w:color="auto"/>
              <w:top w:val="single" w:color="auto" w:sz="4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6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4"/>
            <w:vAlign w:val="top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6"/>
            <w:vAlign w:val="bottom"/>
            <w:tcBorders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4"/>
            <w:vAlign w:val="top"/>
            <w:tcBorders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bottom w:val="nil" w:color="auto"/>
            </w:tcBorders>
          </w:tcPr>
          <w:p>
            <w:pPr>
              <w:ind w:left="480" w:firstLine="0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ind w:left="152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  /     /            )</w:t>
            </w:r>
          </w:p>
        </w:tc>
        <w:tc>
          <w:tcPr>
            <w:tcW w:type="dxa" w:w="360"/>
            <w:vAlign w:val="bottom"/>
            <w:gridSpan w:val="2"/>
            <w:tcBorders>
              <w:bottom w:val="nil" w:color="auto"/>
            </w:tcBorders>
          </w:tcPr>
          <w:p>
            <w:pPr>
              <w:ind w:left="480" w:firstLine="0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340"/>
            <w:vAlign w:val="bottom"/>
            <w:gridSpan w:val="5"/>
            <w:tcBorders>
              <w:bottom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530"/>
            <w:vAlign w:val="bottom"/>
            <w:gridSpan w:val="3"/>
            <w:vMerge w:val="restart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260"/>
            <w:vAlign w:val="top"/>
            <w:gridSpan w:val="3"/>
            <w:vMerge w:val="restart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Stock code (if listed)</w:t>
            </w:r>
          </w:p>
        </w:tc>
        <w:tc>
          <w:tcPr>
            <w:tcW w:type="dxa" w:w="3060"/>
            <w:vAlign w:val="bottom"/>
            <w:gridSpan w:val="8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530"/>
            <w:vAlign w:val="bottom"/>
            <w:gridSpan w:val="3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1260"/>
            <w:vAlign w:val="top"/>
            <w:gridSpan w:val="3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i w:val="1"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306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530"/>
            <w:vAlign w:val="bottom"/>
            <w:gridSpan w:val="3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1260"/>
            <w:vAlign w:val="top"/>
            <w:gridSpan w:val="3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Subscription price</w:t>
            </w:r>
          </w:p>
        </w:tc>
        <w:tc>
          <w:tcPr>
            <w:tcW w:type="dxa" w:w="306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530"/>
            <w:vAlign w:val="bottom"/>
            <w:gridSpan w:val="3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1260"/>
            <w:vAlign w:val="top"/>
            <w:gridSpan w:val="3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(if applicable)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</w:tc>
        <w:tc>
          <w:tcPr>
            <w:tcW w:type="dxa" w:w="306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530"/>
            <w:vAlign w:val="bottom"/>
            <w:gridSpan w:val="3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1260"/>
            <w:vAlign w:val="top"/>
            <w:gridSpan w:val="3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2.N/A</w:t>
            </w: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6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4"/>
            <w:vAlign w:val="top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6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4"/>
            <w:vAlign w:val="top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6"/>
            <w:vAlign w:val="bottom"/>
            <w:tcBorders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4"/>
            <w:vAlign w:val="top"/>
            <w:tcBorders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bottom w:val="nil" w:color="auto"/>
            </w:tcBorders>
          </w:tcPr>
          <w:p>
            <w:pPr>
              <w:ind w:left="480" w:firstLine="0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ind w:left="152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  /     /            )</w:t>
            </w:r>
          </w:p>
        </w:tc>
        <w:tc>
          <w:tcPr>
            <w:tcW w:type="dxa" w:w="360"/>
            <w:vAlign w:val="bottom"/>
            <w:gridSpan w:val="2"/>
            <w:tcBorders>
              <w:bottom w:val="nil" w:color="auto"/>
            </w:tcBorders>
          </w:tcPr>
          <w:p>
            <w:pPr>
              <w:ind w:left="480" w:firstLine="0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340"/>
            <w:vAlign w:val="bottom"/>
            <w:gridSpan w:val="5"/>
            <w:tcBorders>
              <w:bottom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 w:val="restart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Stock code (if listed)</w:t>
            </w:r>
          </w:p>
        </w:tc>
        <w:tc>
          <w:tcPr>
            <w:tcW w:type="dxa" w:w="3060"/>
            <w:vAlign w:val="bottom"/>
            <w:gridSpan w:val="8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306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Subscription price</w:t>
            </w:r>
          </w:p>
        </w:tc>
        <w:tc>
          <w:tcPr>
            <w:tcW w:type="dxa" w:w="306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(if applicable)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</w:tc>
        <w:tc>
          <w:tcPr>
            <w:tcW w:type="dxa" w:w="306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3.N/A</w:t>
            </w: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6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4"/>
            <w:vAlign w:val="top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6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4"/>
            <w:vAlign w:val="top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6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4"/>
            <w:vAlign w:val="top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bottom w:val="nil" w:color="auto"/>
            </w:tcBorders>
          </w:tcPr>
          <w:p>
            <w:pPr>
              <w:ind w:left="480" w:firstLine="0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ind w:left="152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  /     /            )</w:t>
            </w:r>
          </w:p>
        </w:tc>
        <w:tc>
          <w:tcPr>
            <w:tcW w:type="dxa" w:w="360"/>
            <w:vAlign w:val="bottom"/>
            <w:gridSpan w:val="2"/>
            <w:tcBorders>
              <w:bottom w:val="nil" w:color="auto"/>
            </w:tcBorders>
          </w:tcPr>
          <w:p>
            <w:pPr>
              <w:ind w:left="480" w:firstLine="0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340"/>
            <w:vAlign w:val="bottom"/>
            <w:gridSpan w:val="5"/>
            <w:tcBorders>
              <w:bottom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 w:val="restart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Stock code (if listed)</w:t>
            </w:r>
          </w:p>
        </w:tc>
        <w:tc>
          <w:tcPr>
            <w:tcW w:type="dxa" w:w="3060"/>
            <w:vAlign w:val="bottom"/>
            <w:gridSpan w:val="8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306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Subscription price</w:t>
            </w:r>
          </w:p>
        </w:tc>
        <w:tc>
          <w:tcPr>
            <w:tcW w:type="dxa" w:w="306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(if applicable)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</w:tc>
        <w:tc>
          <w:tcPr>
            <w:tcW w:type="dxa" w:w="306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4.N/A</w:t>
            </w: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6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4"/>
            <w:vAlign w:val="top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6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4"/>
            <w:vAlign w:val="top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9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6"/>
            <w:vAlign w:val="bottom"/>
            <w:tcBorders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4"/>
            <w:vAlign w:val="top"/>
            <w:tcBorders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bottom w:val="nil" w:color="auto"/>
            </w:tcBorders>
          </w:tcPr>
          <w:p>
            <w:pPr>
              <w:ind w:left="480" w:firstLine="0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ind w:left="152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  /     /            )</w:t>
            </w:r>
          </w:p>
        </w:tc>
        <w:tc>
          <w:tcPr>
            <w:tcW w:type="dxa" w:w="360"/>
            <w:vAlign w:val="bottom"/>
            <w:gridSpan w:val="2"/>
            <w:tcBorders>
              <w:bottom w:val="nil" w:color="auto"/>
            </w:tcBorders>
          </w:tcPr>
          <w:p>
            <w:pPr>
              <w:ind w:left="480" w:firstLine="0"/>
              <w:rPr>
                <w:b w:val="1"/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340"/>
            <w:vAlign w:val="bottom"/>
            <w:gridSpan w:val="5"/>
            <w:tcBorders>
              <w:bottom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 w:val="restart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Stock code (if listed)</w:t>
            </w:r>
          </w:p>
        </w:tc>
        <w:tc>
          <w:tcPr>
            <w:tcW w:type="dxa" w:w="3060"/>
            <w:vAlign w:val="bottom"/>
            <w:gridSpan w:val="8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306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Subscription price</w:t>
            </w:r>
          </w:p>
        </w:tc>
        <w:tc>
          <w:tcPr>
            <w:tcW w:type="dxa" w:w="306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26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(if applicable)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</w:tc>
        <w:tc>
          <w:tcPr>
            <w:tcW w:type="dxa" w:w="3060"/>
            <w:vAlign w:val="bottom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vMerge/>
            <w:tcBorders>
              <w:bottom w:val="nil" w:color="auto"/>
              <w:top w:val="nil" w:color="auto"/>
            </w:tcBorders>
          </w:tcPr>
          <w:p/>
        </w:tc>
      </w:tr>
      <w:tr>
        <w:trPr>
          <w:trHeight w:hRule="atleast" w:val="17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060"/>
            <w:vAlign w:val="bottom"/>
            <w:gridSpan w:val="8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7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220"/>
            <w:vAlign w:val="bottom"/>
            <w:gridSpan w:val="1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Total B.      </w:t>
            </w:r>
            <w:r>
              <w:rPr>
                <w:sz w:val="22"/>
                <w:szCs w:val="22"/>
                <w:rFonts w:ascii="Arial" w:hAnsi="Arial" w:cs="Arial"/>
              </w:rPr>
              <w:t xml:space="preserve">(Ordinary shares)</w:t>
            </w:r>
          </w:p>
        </w:tc>
        <w:tc>
          <w:tcPr>
            <w:tcW w:type="dxa" w:w="1530"/>
            <w:vAlign w:val="bottom"/>
            <w:gridSpan w:val="3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NIL</w:t>
            </w: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right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7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060"/>
            <w:vAlign w:val="bottom"/>
            <w:gridSpan w:val="8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(Preference shares)</w:t>
            </w:r>
          </w:p>
        </w:tc>
        <w:tc>
          <w:tcPr>
            <w:tcW w:type="dxa" w:w="1530"/>
            <w:vAlign w:val="bottom"/>
            <w:gridSpan w:val="3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right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7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060"/>
            <w:vAlign w:val="bottom"/>
            <w:gridSpan w:val="8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 w:cs="Arial"/>
              </w:rPr>
              <w:t xml:space="preserve">(Other class</w:t>
            </w:r>
            <w:r>
              <w:rPr>
                <w:sz w:val="20"/>
                <w:szCs w:val="20"/>
                <w:rFonts w:ascii="Arial" w:hAnsi="Arial" w:cs="Arial"/>
              </w:rPr>
              <w:t>)</w:t>
            </w:r>
          </w:p>
        </w:tc>
        <w:tc>
          <w:tcPr>
            <w:tcW w:type="dxa" w:w="1530"/>
            <w:vAlign w:val="bottom"/>
            <w:gridSpan w:val="3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right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70"/>
          <w:cantSplit/>
        </w:trPr>
        <w:tc>
          <w:tcPr>
            <w:tcW w:type="dxa" w:w="2368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060"/>
            <w:vAlign w:val="bottom"/>
            <w:gridSpan w:val="8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4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</w:tbl>
    <w:p>
      <w:pPr>
        <w:rPr>
          <w:sz w:val="20"/>
          <w:szCs w:val="20"/>
          <w:rFonts w:ascii="Arial" w:hAnsi="Arial" w:cs="Arial"/>
        </w:rPr>
      </w:pPr>
      <w:r>
        <w:br w:type="page"/>
      </w:r>
      <w:r>
        <w:rPr>
          <w:sz w:val="20"/>
          <w:szCs w:val="20"/>
          <w:rFonts w:ascii="Arial" w:hAnsi="Arial" w:cs="Arial"/>
        </w:rPr>
        <w:t xml:space="preserve">Convertibles (i.e. Convertible into Shares of the Issuer which are to be Listed)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top w:w="0" w:type="dxa"/>
          <w:right w:w="28" w:type="dxa"/>
          <w:bottom w:w="0" w:type="dxa"/>
        </w:tblCellMar>
        <w:tblW w:w="10378" w:type="dxa"/>
        <w:tblLook w:val="000000" w:firstRow="0" w:lastRow="0" w:firstColumn="0" w:lastColumn="0" w:noHBand="0" w:noVBand="0"/>
        <w:tblLayout w:type="fixed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>
        <w:trPr>
          <w:trHeight w:hRule="atleast" w:val="692"/>
          <w:tblHeader/>
          <w:cantSplit/>
        </w:trPr>
        <w:tc>
          <w:tcPr>
            <w:tcW w:type="dxa" w:w="2818"/>
            <w:vAlign w:val="bottom"/>
            <w:gridSpan w:val="4"/>
            <w:tcBorders>
              <w:bottom w:val="single" w:color="auto" w:sz="4"/>
              <w:top w:val="single" w:color="auto" w:sz="4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and description</w:t>
            </w:r>
          </w:p>
        </w:tc>
        <w:tc>
          <w:tcPr>
            <w:tcW w:type="dxa" w:w="1170"/>
            <w:vAlign w:val="bottom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Currency of </w:t>
            </w:r>
            <w:r>
              <w:rPr>
                <w:sz w:val="20"/>
                <w:szCs w:val="20"/>
                <w:rFonts w:ascii="Arial" w:hAnsi="Arial" w:cs="Arial"/>
              </w:rPr>
              <w:t xml:space="preserve">amount </w:t>
            </w:r>
            <w:r>
              <w:rPr>
                <w:sz w:val="20"/>
                <w:szCs w:val="20"/>
                <w:rFonts w:ascii="Arial" w:hAnsi="Arial" w:cs="Arial"/>
              </w:rPr>
              <w:t>outstanding</w:t>
            </w:r>
          </w:p>
        </w:tc>
        <w:tc>
          <w:tcPr>
            <w:tcW w:type="dxa" w:w="1440"/>
            <w:vAlign w:val="bottom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Amount at </w:t>
            </w:r>
            <w:r>
              <w:rPr>
                <w:sz w:val="20"/>
                <w:szCs w:val="20"/>
                <w:rFonts w:ascii="Arial" w:hAnsi="Arial" w:cs="Arial"/>
              </w:rPr>
              <w:t xml:space="preserve">close of </w:t>
            </w:r>
            <w:r>
              <w:rPr>
                <w:sz w:val="20"/>
                <w:szCs w:val="20"/>
                <w:rFonts w:ascii="Arial" w:hAnsi="Arial" w:cs="Arial"/>
              </w:rPr>
              <w:t xml:space="preserve">preceding </w:t>
            </w:r>
            <w:r>
              <w:rPr>
                <w:sz w:val="20"/>
                <w:szCs w:val="20"/>
                <w:rFonts w:ascii="Arial" w:hAnsi="Arial" w:cs="Arial"/>
              </w:rPr>
              <w:t>month</w:t>
            </w:r>
          </w:p>
        </w:tc>
        <w:tc>
          <w:tcPr>
            <w:tcW w:type="dxa" w:w="126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Converted </w:t>
            </w:r>
            <w:r>
              <w:rPr>
                <w:sz w:val="20"/>
                <w:szCs w:val="20"/>
                <w:rFonts w:ascii="Arial" w:hAnsi="Arial" w:cs="Arial"/>
              </w:rPr>
              <w:t xml:space="preserve">during the </w:t>
            </w:r>
            <w:r>
              <w:rPr>
                <w:sz w:val="20"/>
                <w:szCs w:val="20"/>
                <w:rFonts w:ascii="Arial" w:hAnsi="Arial" w:cs="Arial"/>
              </w:rPr>
              <w:t>month</w:t>
            </w:r>
          </w:p>
        </w:tc>
        <w:tc>
          <w:tcPr>
            <w:tcW w:type="dxa" w:w="1260"/>
            <w:vAlign w:val="bottom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Amount at </w:t>
            </w:r>
            <w:r>
              <w:rPr>
                <w:sz w:val="20"/>
                <w:szCs w:val="20"/>
                <w:rFonts w:ascii="Arial" w:hAnsi="Arial" w:cs="Arial"/>
              </w:rPr>
              <w:t xml:space="preserve">close of the </w:t>
            </w:r>
            <w:r>
              <w:rPr>
                <w:sz w:val="20"/>
                <w:szCs w:val="20"/>
                <w:rFonts w:ascii="Arial" w:hAnsi="Arial" w:cs="Arial"/>
              </w:rPr>
              <w:t>month</w:t>
            </w:r>
          </w:p>
        </w:tc>
        <w:tc>
          <w:tcPr>
            <w:tcW w:type="dxa" w:w="1170"/>
            <w:vAlign w:val="top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No. of new </w:t>
            </w:r>
            <w:r>
              <w:rPr>
                <w:sz w:val="20"/>
                <w:szCs w:val="20"/>
                <w:rFonts w:ascii="Arial" w:hAnsi="Arial" w:cs="Arial"/>
              </w:rPr>
              <w:t xml:space="preserve">shares of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issuer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issued </w:t>
            </w:r>
            <w:r>
              <w:rPr>
                <w:sz w:val="20"/>
                <w:szCs w:val="20"/>
                <w:rFonts w:ascii="Arial" w:hAnsi="Arial" w:cs="Arial"/>
              </w:rPr>
              <w:t xml:space="preserve">during the </w:t>
            </w:r>
            <w:r>
              <w:rPr>
                <w:sz w:val="20"/>
                <w:szCs w:val="20"/>
                <w:rFonts w:ascii="Arial" w:hAnsi="Arial" w:cs="Arial"/>
              </w:rPr>
              <w:t xml:space="preserve">month </w:t>
            </w:r>
            <w:r>
              <w:rPr>
                <w:sz w:val="20"/>
                <w:szCs w:val="20"/>
                <w:rFonts w:ascii="Arial" w:hAnsi="Arial" w:cs="Arial"/>
              </w:rPr>
              <w:t xml:space="preserve">pursuant </w:t>
            </w:r>
            <w:r>
              <w:rPr>
                <w:sz w:val="20"/>
                <w:szCs w:val="20"/>
                <w:rFonts w:ascii="Arial" w:hAnsi="Arial" w:cs="Arial"/>
              </w:rPr>
              <w:t>thereto</w:t>
            </w:r>
          </w:p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260"/>
            <w:vAlign w:val="bottom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No. of new </w:t>
            </w:r>
            <w:r>
              <w:rPr>
                <w:sz w:val="20"/>
                <w:szCs w:val="20"/>
                <w:rFonts w:ascii="Arial" w:hAnsi="Arial" w:cs="Arial"/>
              </w:rPr>
              <w:t xml:space="preserve">shares of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issuer which </w:t>
            </w:r>
            <w:r>
              <w:rPr>
                <w:sz w:val="20"/>
                <w:szCs w:val="20"/>
                <w:rFonts w:ascii="Arial" w:hAnsi="Arial" w:cs="Arial"/>
              </w:rPr>
              <w:t xml:space="preserve">may be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issued </w:t>
            </w:r>
            <w:r>
              <w:rPr>
                <w:sz w:val="20"/>
                <w:szCs w:val="20"/>
                <w:rFonts w:ascii="Arial" w:hAnsi="Arial" w:cs="Arial"/>
              </w:rPr>
              <w:t xml:space="preserve">pursuant </w:t>
            </w:r>
            <w:r>
              <w:rPr>
                <w:sz w:val="20"/>
                <w:szCs w:val="20"/>
                <w:rFonts w:ascii="Arial" w:hAnsi="Arial" w:cs="Arial"/>
              </w:rPr>
              <w:t xml:space="preserve">thereto as at </w:t>
            </w:r>
            <w:r>
              <w:rPr>
                <w:sz w:val="20"/>
                <w:szCs w:val="20"/>
                <w:rFonts w:ascii="Arial" w:hAnsi="Arial" w:cs="Arial"/>
              </w:rPr>
              <w:t xml:space="preserve">close of the </w:t>
            </w:r>
            <w:r>
              <w:rPr>
                <w:sz w:val="20"/>
                <w:szCs w:val="20"/>
                <w:rFonts w:ascii="Arial" w:hAnsi="Arial" w:cs="Arial"/>
              </w:rPr>
              <w:t>month</w:t>
            </w:r>
          </w:p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numPr>
                <w:ilvl w:val="0"/>
                <w:numId w:val="3"/>
              </w:numPr>
              <w:ind w:left="242" w:hanging="242"/>
              <w:tabs>
                <w:tab w:val="left" w:pos="242"/>
                <w:tab w:val="clear" w:pos="360"/>
              </w:tabs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8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Stock code (if listed)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150"/>
            <w:vAlign w:val="bottom"/>
            <w:gridSpan w:val="5"/>
            <w:tcBorders>
              <w:bottom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7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15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940"/>
            <w:vAlign w:val="bottom"/>
            <w:gridSpan w:val="1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15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Subscription price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940"/>
            <w:vAlign w:val="bottom"/>
            <w:gridSpan w:val="1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15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(if applicable)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(dd/mm/yyyy))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5940"/>
            <w:vAlign w:val="bottom"/>
            <w:gridSpan w:val="1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numPr>
                <w:ilvl w:val="0"/>
                <w:numId w:val="3"/>
              </w:numPr>
              <w:ind w:left="242" w:hanging="242"/>
              <w:tabs>
                <w:tab w:val="left" w:pos="242"/>
                <w:tab w:val="clear" w:pos="360"/>
              </w:tabs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8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Stock code (if listed)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150"/>
            <w:vAlign w:val="bottom"/>
            <w:gridSpan w:val="5"/>
            <w:tcBorders>
              <w:bottom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7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15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940"/>
            <w:vAlign w:val="bottom"/>
            <w:gridSpan w:val="1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15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Subscription price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940"/>
            <w:vAlign w:val="bottom"/>
            <w:gridSpan w:val="1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15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(if applicable)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5940"/>
            <w:vAlign w:val="bottom"/>
            <w:gridSpan w:val="1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numPr>
                <w:ilvl w:val="0"/>
                <w:numId w:val="3"/>
              </w:numPr>
              <w:ind w:left="242" w:hanging="242"/>
              <w:tabs>
                <w:tab w:val="left" w:pos="242"/>
                <w:tab w:val="clear" w:pos="360"/>
              </w:tabs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8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Stock code (if listed)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150"/>
            <w:vAlign w:val="bottom"/>
            <w:gridSpan w:val="5"/>
            <w:tcBorders>
              <w:bottom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7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15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940"/>
            <w:vAlign w:val="bottom"/>
            <w:gridSpan w:val="1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15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Subscription price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940"/>
            <w:vAlign w:val="bottom"/>
            <w:gridSpan w:val="1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15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(if applicable)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5940"/>
            <w:vAlign w:val="bottom"/>
            <w:gridSpan w:val="1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numPr>
                <w:ilvl w:val="0"/>
                <w:numId w:val="3"/>
              </w:numPr>
              <w:ind w:left="242" w:hanging="242"/>
              <w:tabs>
                <w:tab w:val="left" w:pos="242"/>
                <w:tab w:val="clear" w:pos="360"/>
              </w:tabs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60"/>
          <w:cantSplit/>
        </w:trPr>
        <w:tc>
          <w:tcPr>
            <w:tcW w:type="dxa" w:w="118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61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gridSpan w:val="2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35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90"/>
            <w:vAlign w:val="bottom"/>
            <w:tcBorders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8"/>
            <w:vAlign w:val="top"/>
            <w:gridSpan w:val="2"/>
            <w:tcBorders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62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8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Stock code (if listed)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150"/>
            <w:vAlign w:val="bottom"/>
            <w:gridSpan w:val="5"/>
            <w:tcBorders>
              <w:bottom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90"/>
            <w:vAlign w:val="bottom"/>
            <w:gridSpan w:val="7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15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940"/>
            <w:vAlign w:val="bottom"/>
            <w:gridSpan w:val="1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15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Subscription price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940"/>
            <w:vAlign w:val="bottom"/>
            <w:gridSpan w:val="1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15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(if applicable)</w:t>
            </w:r>
          </w:p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</w:tc>
        <w:tc>
          <w:tcPr>
            <w:tcW w:type="dxa" w:w="2070"/>
            <w:vAlign w:val="bottom"/>
            <w:gridSpan w:val="6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5940"/>
            <w:vAlign w:val="bottom"/>
            <w:gridSpan w:val="12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7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220"/>
            <w:vAlign w:val="bottom"/>
            <w:gridSpan w:val="11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Total C.  (Ordinary shares)</w:t>
            </w:r>
          </w:p>
        </w:tc>
        <w:tc>
          <w:tcPr>
            <w:tcW w:type="dxa" w:w="1530"/>
            <w:vAlign w:val="bottom"/>
            <w:gridSpan w:val="4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NIL</w:t>
            </w: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nil" w:color="auto"/>
              <w:right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7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060"/>
            <w:vAlign w:val="bottom"/>
            <w:gridSpan w:val="8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(Preference shares)</w:t>
            </w:r>
          </w:p>
        </w:tc>
        <w:tc>
          <w:tcPr>
            <w:tcW w:type="dxa" w:w="1530"/>
            <w:vAlign w:val="bottom"/>
            <w:gridSpan w:val="4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nil" w:color="auto"/>
              <w:right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70"/>
          <w:cantSplit/>
        </w:trPr>
        <w:tc>
          <w:tcPr>
            <w:tcW w:type="dxa" w:w="2368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060"/>
            <w:vAlign w:val="bottom"/>
            <w:gridSpan w:val="8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60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(Other class)</w:t>
            </w:r>
          </w:p>
        </w:tc>
        <w:tc>
          <w:tcPr>
            <w:tcW w:type="dxa" w:w="1530"/>
            <w:vAlign w:val="bottom"/>
            <w:gridSpan w:val="4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80"/>
            <w:vAlign w:val="bottom"/>
            <w:gridSpan w:val="2"/>
            <w:tcBorders>
              <w:bottom w:val="nil" w:color="auto"/>
              <w:right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215"/>
          <w:cantSplit/>
        </w:trPr>
        <w:tc>
          <w:tcPr>
            <w:tcW w:type="dxa" w:w="2368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ind w:left="480" w:firstLine="0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440"/>
            <w:vAlign w:val="bottom"/>
            <w:gridSpan w:val="4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570"/>
            <w:vAlign w:val="bottom"/>
            <w:gridSpan w:val="14"/>
            <w:tcBorders>
              <w:bottom w:val="single" w:color="auto" w:sz="4"/>
              <w:top w:val="nil" w:color="auto"/>
            </w:tcBorders>
          </w:tcPr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</w:tr>
    </w:tbl>
    <w:p>
      <w:pPr>
        <w:rPr>
          <w:sz w:val="20"/>
          <w:szCs w:val="20"/>
          <w:rFonts w:ascii="Arial" w:hAnsi="Arial" w:cs="Arial"/>
        </w:rPr>
      </w:pPr>
    </w:p>
    <w:p>
      <w:pPr>
        <w:spacing w:lineRule="auto" w:line="216"/>
        <w:rPr>
          <w:sz w:val="20"/>
          <w:szCs w:val="20"/>
          <w:rFonts w:ascii="Arial" w:hAnsi="Arial" w:cs="Arial"/>
        </w:rPr>
      </w:pPr>
    </w:p>
    <w:p>
      <w:pPr>
        <w:spacing w:lineRule="auto" w:line="216"/>
        <w:rPr>
          <w:sz w:val="20"/>
          <w:szCs w:val="20"/>
          <w:rFonts w:ascii="Arial" w:hAnsi="Arial" w:cs="Arial"/>
        </w:rPr>
      </w:pPr>
    </w:p>
    <w:p>
      <w:pPr>
        <w:spacing w:lineRule="auto" w:line="216"/>
        <w:rPr>
          <w:sz w:val="20"/>
          <w:szCs w:val="20"/>
          <w:rFonts w:ascii="Arial" w:hAnsi="Arial" w:cs="Arial"/>
        </w:rPr>
      </w:pPr>
    </w:p>
    <w:p>
      <w:pPr>
        <w:spacing w:lineRule="auto" w:line="216"/>
        <w:rPr>
          <w:sz w:val="20"/>
          <w:szCs w:val="20"/>
          <w:rFonts w:ascii="Arial" w:hAnsi="Arial" w:cs="Arial"/>
        </w:rPr>
      </w:pPr>
    </w:p>
    <w:p>
      <w:pPr>
        <w:spacing w:lineRule="auto" w:line="216"/>
        <w:rPr>
          <w:sz w:val="20"/>
          <w:szCs w:val="20"/>
          <w:rFonts w:ascii="Arial" w:hAnsi="Arial" w:cs="Arial" w:hint="eastAsia"/>
        </w:rPr>
      </w:pPr>
    </w:p>
    <w:p>
      <w:pPr>
        <w:spacing w:lineRule="auto" w:line="216"/>
        <w:rPr>
          <w:sz w:val="20"/>
          <w:szCs w:val="20"/>
          <w:rFonts w:ascii="Arial" w:hAnsi="Arial" w:cs="Arial"/>
        </w:rPr>
      </w:pPr>
    </w:p>
    <w:p>
      <w:pPr>
        <w:spacing w:lineRule="auto" w:line="216"/>
        <w:rPr>
          <w:rFonts w:ascii="Arial" w:hAnsi="Arial" w:cs="Arial"/>
        </w:rPr>
      </w:pPr>
      <w:r>
        <w:rPr>
          <w:sz w:val="20"/>
          <w:szCs w:val="20"/>
          <w:rFonts w:ascii="Arial" w:hAnsi="Arial" w:cs="Arial"/>
        </w:rPr>
        <w:t xml:space="preserve">Any other Agreements or Arrangements to Issue Shares of the Issuer which are to be Listed, including </w:t>
      </w:r>
      <w:r>
        <w:rPr>
          <w:sz w:val="20"/>
          <w:szCs w:val="20"/>
          <w:rFonts w:ascii="Arial" w:hAnsi="Arial" w:cs="Arial"/>
        </w:rPr>
        <w:t xml:space="preserve">Options (other than under Share Option Schemes) 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080" w:type="dxa"/>
        <w:tblInd w:w="108" w:type="dxa"/>
        <w:tblLook w:val="0001E0" w:firstRow="1" w:lastRow="1" w:firstColumn="1" w:lastColumn="1" w:noHBand="0" w:noVBand="0"/>
        <w:tblLayout w:type="fixed"/>
      </w:tblPr>
      <w:tblGrid>
        <w:gridCol w:w="383"/>
        <w:gridCol w:w="5628"/>
        <w:gridCol w:w="1919"/>
        <w:gridCol w:w="240"/>
        <w:gridCol w:w="1910"/>
      </w:tblGrid>
      <w:tr>
        <w:trPr/>
        <w:tc>
          <w:tcPr>
            <w:tcW w:type="dxa" w:w="6011"/>
            <w:tcMar>
              <w:left w:w="108" w:type="dxa"/>
              <w:right w:w="108" w:type="dxa"/>
            </w:tcMar>
            <w:vAlign w:val="bottom"/>
            <w:gridSpan w:val="2"/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Full particulars including EGM approval date (dd/mm/yyyy),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if applicable, and class of shares issuable:</w:t>
            </w: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right w:val="nil" w:color="auto"/>
            </w:tcBorders>
            <w:shd w:val="clear" w:color="000000"/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No. of new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of issuer issued </w:t>
            </w:r>
            <w:r>
              <w:rPr>
                <w:sz w:val="20"/>
                <w:szCs w:val="20"/>
                <w:rFonts w:ascii="Arial" w:hAnsi="Arial" w:cs="Arial"/>
              </w:rPr>
              <w:t xml:space="preserve">during the month </w:t>
            </w:r>
            <w:r>
              <w:rPr>
                <w:sz w:val="20"/>
                <w:szCs w:val="20"/>
                <w:rFonts w:ascii="Arial" w:hAnsi="Arial" w:cs="Arial"/>
              </w:rPr>
              <w:t xml:space="preserve">pursuant thereto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5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nil" w:color="auto"/>
            </w:tcBorders>
            <w:shd w:val="clear" w:color="000000"/>
          </w:tcPr>
          <w:p>
            <w:pPr>
              <w:jc w:val="center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No. of new shares of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issuer which may be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issued pursuant </w:t>
            </w:r>
            <w:r>
              <w:rPr>
                <w:sz w:val="20"/>
                <w:szCs w:val="20"/>
                <w:rFonts w:ascii="Arial" w:hAnsi="Arial" w:cs="Arial"/>
              </w:rPr>
              <w:t xml:space="preserve">thereto as at close of </w:t>
            </w:r>
            <w:r>
              <w:rPr>
                <w:sz w:val="20"/>
                <w:szCs w:val="20"/>
                <w:rFonts w:ascii="Arial" w:hAnsi="Arial" w:cs="Arial"/>
              </w:rPr>
              <w:t xml:space="preserve">the month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1.</w:t>
            </w: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left w:val="nil" w:color="auto"/>
              <w:right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left w:val="nil" w:color="auto"/>
              <w:right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left w:val="nil" w:color="auto"/>
              <w:right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</w:tcBorders>
            <w:shd w:val="clear" w:color="000000"/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</w:tcBorders>
            <w:shd w:val="clear" w:color="000000"/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shares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single" w:color="auto" w:sz="4"/>
            </w:tcBorders>
            <w:shd w:val="clear" w:color="000000"/>
          </w:tcPr>
          <w:p>
            <w:pPr>
              <w:jc w:val="right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2.</w:t>
            </w: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left w:val="nil" w:color="auto"/>
              <w:right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left w:val="nil" w:color="auto"/>
              <w:right w:val="single" w:color="auto" w:sz="4"/>
            </w:tcBorders>
            <w:shd w:val="clear" w:color="000000"/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</w:tcBorders>
            <w:shd w:val="clear" w:color="000000"/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shares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</w:tcBorders>
            <w:shd w:val="clear" w:color="000000"/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3.</w:t>
            </w: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left w:val="nil" w:color="auto"/>
              <w:right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left w:val="nil" w:color="auto"/>
              <w:right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left w:val="nil" w:color="auto"/>
              <w:right w:val="single" w:color="auto" w:sz="4"/>
            </w:tcBorders>
            <w:shd w:val="clear" w:color="000000"/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 /    /        )</w:t>
            </w: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</w:tcBorders>
            <w:shd w:val="clear" w:color="000000"/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shares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nil" w:color="auto"/>
              <w:right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</w:tcBorders>
            <w:shd w:val="clear" w:color="000000"/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Total D.     (Ordinary shares)</w:t>
            </w: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tabs>
                <w:tab w:val="right" w:pos="1704"/>
              </w:tabs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N/A</w:t>
            </w:r>
            <w:r>
              <w:rPr>
                <w:sz w:val="20"/>
                <w:szCs w:val="20"/>
                <w:rFonts w:ascii="Arial" w:hAnsi="Arial" w:cs="Arial"/>
              </w:rPr>
              <w:tab/>
            </w: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</w:tcBorders>
            <w:shd w:val="clear" w:color="000000"/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(Preference shares)</w:t>
            </w: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nil" w:color="auto"/>
              <w:top w:val="single" w:color="auto" w:sz="4"/>
            </w:tcBorders>
            <w:shd w:val="clear" w:color="000000"/>
          </w:tcPr>
          <w:p>
            <w:pPr>
              <w:spacing w:lineRule="auto" w:line="216"/>
              <w:tabs>
                <w:tab w:val="right" w:pos="1704"/>
              </w:tabs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N/A</w:t>
            </w:r>
            <w:r>
              <w:rPr>
                <w:sz w:val="20"/>
                <w:szCs w:val="20"/>
                <w:rFonts w:ascii="Arial" w:hAnsi="Arial" w:cs="Arial"/>
              </w:rPr>
              <w:tab/>
            </w: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9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</w:tcBorders>
            <w:shd w:val="clear" w:color="000000"/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(Other class)</w:t>
            </w: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nil" w:color="auto"/>
              <w:top w:val="single" w:color="auto" w:sz="4"/>
            </w:tcBorders>
            <w:shd w:val="clear" w:color="000000"/>
          </w:tcPr>
          <w:p>
            <w:pPr>
              <w:spacing w:lineRule="auto" w:line="216"/>
              <w:tabs>
                <w:tab w:val="right" w:pos="1704"/>
              </w:tabs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N/A</w:t>
            </w:r>
            <w:r>
              <w:rPr>
                <w:sz w:val="20"/>
                <w:szCs w:val="20"/>
                <w:rFonts w:ascii="Arial" w:hAnsi="Arial" w:cs="Arial"/>
              </w:rPr>
              <w:tab/>
            </w:r>
          </w:p>
        </w:tc>
        <w:tc>
          <w:tcPr>
            <w:tcW w:type="dxa" w:w="2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8"/>
        </w:trPr>
        <w:tc>
          <w:tcPr>
            <w:tcW w:type="dxa" w:w="38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628"/>
            <w:tcMar>
              <w:left w:w="108" w:type="dxa"/>
              <w:right w:w="108" w:type="dxa"/>
            </w:tcMar>
            <w:vAlign w:val="top"/>
            <w:tcBorders>
              <w:lef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919"/>
            <w:tcMar>
              <w:left w:w="108" w:type="dxa"/>
              <w:right w:w="108" w:type="dxa"/>
            </w:tcMar>
            <w:vAlign w:val="top"/>
            <w:tcBorders>
              <w:right w:val="nil" w:color="auto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150"/>
            <w:tcMar>
              <w:left w:w="108" w:type="dxa"/>
              <w:right w:w="108" w:type="dxa"/>
            </w:tcMar>
            <w:vAlign w:val="top"/>
            <w:gridSpan w:val="2"/>
            <w:tcBorders>
              <w:lef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</w:tbl>
    <w:p>
      <w:pPr>
        <w:spacing w:lineRule="auto" w:line="216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 w:cs="Arial"/>
        </w:rPr>
        <w:t xml:space="preserve"> </w:t>
      </w:r>
    </w:p>
    <w:p>
      <w:pPr>
        <w:spacing w:lineRule="auto" w:line="216"/>
        <w:rPr>
          <w:sz w:val="20"/>
          <w:szCs w:val="20"/>
          <w:rFonts w:ascii="Arial" w:hAnsi="Arial" w:cs="Arial"/>
        </w:rPr>
      </w:pPr>
      <w:r>
        <w:br w:type="page"/>
      </w:r>
    </w:p>
    <w:p>
      <w:pPr>
        <w:spacing w:lineRule="auto" w:line="216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 w:cs="Arial"/>
        </w:rPr>
        <w:t xml:space="preserve">Other Movements in Issued Share Capital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top w:w="0" w:type="dxa"/>
          <w:right w:w="28" w:type="dxa"/>
          <w:bottom w:w="0" w:type="dxa"/>
        </w:tblCellMar>
        <w:tblW w:w="10108" w:type="dxa"/>
        <w:tblInd w:w="-256" w:type="dxa"/>
        <w:tblLook w:val="000000" w:firstRow="0" w:lastRow="0" w:firstColumn="0" w:lastColumn="0" w:noHBand="0" w:noVBand="0"/>
        <w:tblLayout w:type="fixed"/>
      </w:tblPr>
      <w:tblGrid>
        <w:gridCol w:w="298"/>
        <w:gridCol w:w="1573"/>
        <w:gridCol w:w="497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>
        <w:trPr>
          <w:trHeight w:hRule="atleast" w:val="1914"/>
          <w:tblHeader/>
          <w:cantSplit/>
        </w:trPr>
        <w:tc>
          <w:tcPr>
            <w:tcW w:type="dxa" w:w="298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573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Type of Issue</w:t>
            </w:r>
          </w:p>
        </w:tc>
        <w:tc>
          <w:tcPr>
            <w:tcW w:type="dxa" w:w="1037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180"/>
            <w:vAlign w:val="bottom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70"/>
            <w:vAlign w:val="top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No. of new </w:t>
            </w:r>
            <w:r>
              <w:rPr>
                <w:sz w:val="20"/>
                <w:szCs w:val="20"/>
                <w:rFonts w:ascii="Arial" w:hAnsi="Arial" w:cs="Arial"/>
              </w:rPr>
              <w:t xml:space="preserve">shares of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issuer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issued </w:t>
            </w:r>
            <w:r>
              <w:rPr>
                <w:sz w:val="20"/>
                <w:szCs w:val="20"/>
                <w:rFonts w:ascii="Arial" w:hAnsi="Arial" w:cs="Arial"/>
              </w:rPr>
              <w:t xml:space="preserve">during the </w:t>
            </w:r>
            <w:r>
              <w:rPr>
                <w:sz w:val="20"/>
                <w:szCs w:val="20"/>
                <w:rFonts w:ascii="Arial" w:hAnsi="Arial" w:cs="Arial"/>
              </w:rPr>
              <w:t xml:space="preserve">month </w:t>
            </w:r>
            <w:r>
              <w:rPr>
                <w:sz w:val="20"/>
                <w:szCs w:val="20"/>
                <w:rFonts w:ascii="Arial" w:hAnsi="Arial" w:cs="Arial"/>
              </w:rPr>
              <w:t xml:space="preserve">pursuant </w:t>
            </w:r>
            <w:r>
              <w:rPr>
                <w:sz w:val="20"/>
                <w:szCs w:val="20"/>
                <w:rFonts w:ascii="Arial" w:hAnsi="Arial" w:cs="Arial"/>
              </w:rPr>
              <w:t>thereto</w:t>
            </w:r>
          </w:p>
        </w:tc>
        <w:tc>
          <w:tcPr>
            <w:tcW w:type="dxa" w:w="1170"/>
            <w:vAlign w:val="top"/>
            <w:gridSpan w:val="3"/>
            <w:tcBorders>
              <w:bottom w:val="single" w:color="auto" w:sz="4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No. of new </w:t>
            </w:r>
            <w:r>
              <w:rPr>
                <w:sz w:val="20"/>
                <w:szCs w:val="20"/>
                <w:rFonts w:ascii="Arial" w:hAnsi="Arial" w:cs="Arial"/>
              </w:rPr>
              <w:t xml:space="preserve">shares of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issuer which </w:t>
            </w:r>
            <w:r>
              <w:rPr>
                <w:sz w:val="20"/>
                <w:szCs w:val="20"/>
                <w:rFonts w:ascii="Arial" w:hAnsi="Arial" w:cs="Arial"/>
              </w:rPr>
              <w:t xml:space="preserve">may be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issued </w:t>
            </w:r>
            <w:r>
              <w:rPr>
                <w:sz w:val="20"/>
                <w:szCs w:val="20"/>
                <w:rFonts w:ascii="Arial" w:hAnsi="Arial" w:cs="Arial"/>
              </w:rPr>
              <w:t xml:space="preserve">pursuant </w:t>
            </w:r>
            <w:r>
              <w:rPr>
                <w:sz w:val="20"/>
                <w:szCs w:val="20"/>
                <w:rFonts w:ascii="Arial" w:hAnsi="Arial" w:cs="Arial"/>
              </w:rPr>
              <w:t xml:space="preserve">thereto as at </w:t>
            </w:r>
            <w:r>
              <w:rPr>
                <w:sz w:val="20"/>
                <w:szCs w:val="20"/>
                <w:rFonts w:ascii="Arial" w:hAnsi="Arial" w:cs="Arial"/>
              </w:rPr>
              <w:t xml:space="preserve">close of the </w:t>
            </w:r>
            <w:r>
              <w:rPr>
                <w:sz w:val="20"/>
                <w:szCs w:val="20"/>
                <w:rFonts w:ascii="Arial" w:hAnsi="Arial" w:cs="Arial"/>
              </w:rPr>
              <w:t>month</w:t>
            </w:r>
          </w:p>
        </w:tc>
      </w:tr>
      <w:tr>
        <w:trPr>
          <w:trHeight w:hRule="atleast" w:val="1111"/>
          <w:cantSplit/>
        </w:trPr>
        <w:tc>
          <w:tcPr>
            <w:tcW w:type="dxa" w:w="1871"/>
            <w:vAlign w:val="center"/>
            <w:gridSpan w:val="2"/>
            <w:vMerge w:val="restart"/>
            <w:tcBorders>
              <w:top w:val="nil" w:color="auto"/>
            </w:tcBorders>
          </w:tcPr>
          <w:p>
            <w:pPr>
              <w:numPr>
                <w:ilvl w:val="0"/>
                <w:numId w:val="4"/>
              </w:num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Rights issue</w:t>
            </w:r>
          </w:p>
        </w:tc>
        <w:tc>
          <w:tcPr>
            <w:tcW w:type="dxa" w:w="1037"/>
            <w:vAlign w:val="center"/>
            <w:gridSpan w:val="2"/>
            <w:vMerge w:val="restart"/>
            <w:tcBorders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At price :</w:t>
            </w:r>
          </w:p>
        </w:tc>
        <w:tc>
          <w:tcPr>
            <w:tcW w:type="dxa" w:w="840"/>
            <w:vAlign w:val="center"/>
            <w:vMerge w:val="restart"/>
            <w:tcBorders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State </w:t>
            </w:r>
            <w:r>
              <w:rPr>
                <w:sz w:val="20"/>
                <w:szCs w:val="20"/>
                <w:rFonts w:ascii="Arial" w:hAnsi="Arial" w:cs="Arial"/>
              </w:rPr>
              <w:t>currency</w:t>
            </w:r>
          </w:p>
        </w:tc>
        <w:tc>
          <w:tcPr>
            <w:tcW w:type="dxa" w:w="6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 w:val="restart"/>
            <w:tcBorders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bottom"/>
            <w:gridSpan w:val="2"/>
            <w:vMerge w:val="restart"/>
            <w:tcBorders>
              <w:top w:val="nil" w:color="auto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both"/>
              <w:rPr>
                <w:i w:val="1"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Issue and allotment </w:t>
            </w:r>
            <w:r>
              <w:rPr>
                <w:sz w:val="20"/>
                <w:szCs w:val="20"/>
                <w:rFonts w:ascii="Arial" w:hAnsi="Arial" w:cs="Arial"/>
              </w:rPr>
              <w:t xml:space="preserve">date : 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date: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vMerge w:val="restart"/>
            <w:tcBorders>
              <w:bottom w:val="nil" w:color="auto"/>
              <w:top w:val="nil" w:color="auto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________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</w:tc>
        <w:tc>
          <w:tcPr>
            <w:tcW w:type="dxa" w:w="180"/>
            <w:vAlign w:val="top"/>
            <w:vMerge w:val="restart"/>
            <w:tcBorders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vMerge w:val="restart"/>
            <w:tcBorders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vMerge w:val="restart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396"/>
            <w:vAlign w:val="bottom"/>
            <w:gridSpan w:val="2"/>
            <w:vMerge w:val="restart"/>
            <w:tcBorders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vMerge w:val="restart"/>
            <w:tcBorders>
              <w:bottom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</w:tr>
      <w:tr>
        <w:trPr>
          <w:trHeight w:hRule="atleast" w:val="1111"/>
          <w:cantSplit/>
        </w:trPr>
        <w:tc>
          <w:tcPr>
            <w:tcW w:type="dxa" w:w="1871"/>
            <w:vAlign w:val="center"/>
            <w:gridSpan w:val="2"/>
            <w:vMerge/>
            <w:tcBorders>
              <w:top w:val="nil" w:color="auto"/>
            </w:tcBorders>
          </w:tcPr>
          <w:p/>
        </w:tc>
        <w:tc>
          <w:tcPr>
            <w:tcW w:type="dxa" w:w="1037"/>
            <w:vAlign w:val="center"/>
            <w:gridSpan w:val="2"/>
            <w:vMerge/>
            <w:tcBorders>
              <w:top w:val="nil" w:color="auto"/>
            </w:tcBorders>
          </w:tcPr>
          <w:p/>
        </w:tc>
        <w:tc>
          <w:tcPr>
            <w:tcW w:type="dxa" w:w="840"/>
            <w:vAlign w:val="center"/>
            <w:vMerge/>
            <w:tcBorders>
              <w:top w:val="nil" w:color="auto"/>
            </w:tcBorders>
          </w:tcPr>
          <w:p/>
        </w:tc>
        <w:tc>
          <w:tcPr>
            <w:tcW w:type="dxa" w:w="60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/>
            <w:tcBorders>
              <w:top w:val="nil" w:color="auto"/>
            </w:tcBorders>
          </w:tcPr>
          <w:p/>
        </w:tc>
        <w:tc>
          <w:tcPr>
            <w:tcW w:type="dxa" w:w="2040"/>
            <w:vAlign w:val="bottom"/>
            <w:gridSpan w:val="2"/>
            <w:vMerge/>
            <w:tcBorders>
              <w:top w:val="nil" w:color="auto"/>
            </w:tcBorders>
          </w:tcPr>
          <w:p/>
        </w:tc>
        <w:tc>
          <w:tcPr>
            <w:tcW w:type="dxa" w:w="1140"/>
            <w:vAlign w:val="top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180"/>
            <w:vAlign w:val="top"/>
            <w:vMerge/>
            <w:tcBorders>
              <w:top w:val="nil" w:color="auto"/>
            </w:tcBorders>
          </w:tcPr>
          <w:p/>
        </w:tc>
        <w:tc>
          <w:tcPr>
            <w:tcW w:type="dxa" w:w="180"/>
            <w:vAlign w:val="bottom"/>
            <w:vMerge/>
            <w:tcBorders>
              <w:top w:val="nil" w:color="auto"/>
            </w:tcBorders>
          </w:tcPr>
          <w:p/>
        </w:tc>
        <w:tc>
          <w:tcPr>
            <w:tcW w:type="dxa" w:w="810"/>
            <w:vAlign w:val="bottom"/>
            <w:vMerge/>
            <w:tcBorders>
              <w:bottom w:val="single" w:color="auto" w:sz="4"/>
              <w:top w:val="nil" w:color="auto"/>
            </w:tcBorders>
          </w:tcPr>
          <w:p/>
        </w:tc>
        <w:tc>
          <w:tcPr>
            <w:tcW w:type="dxa" w:w="396"/>
            <w:vAlign w:val="bottom"/>
            <w:gridSpan w:val="2"/>
            <w:vMerge/>
            <w:tcBorders>
              <w:top w:val="nil" w:color="auto"/>
            </w:tcBorders>
            <w:shd w:val="clear" w:color="000000"/>
          </w:tcPr>
          <w:p/>
        </w:tc>
        <w:tc>
          <w:tcPr>
            <w:tcW w:type="dxa" w:w="774"/>
            <w:vAlign w:val="bottom"/>
            <w:vMerge/>
            <w:tcBorders>
              <w:bottom w:val="single" w:color="auto" w:sz="4"/>
              <w:top w:val="nil" w:color="auto"/>
            </w:tcBorders>
            <w:shd w:val="clear" w:color="000000"/>
          </w:tcPr>
          <w:p/>
        </w:tc>
      </w:tr>
      <w:tr>
        <w:trPr>
          <w:trHeight w:hRule="atleast" w:val="728"/>
          <w:cantSplit/>
        </w:trPr>
        <w:tc>
          <w:tcPr>
            <w:tcW w:type="dxa" w:w="1871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37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96"/>
            <w:vAlign w:val="bottom"/>
            <w:gridSpan w:val="2"/>
            <w:tcBorders>
              <w:bottom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02"/>
          <w:cantSplit/>
        </w:trPr>
        <w:tc>
          <w:tcPr>
            <w:tcW w:type="dxa" w:w="1871"/>
            <w:vAlign w:val="center"/>
            <w:gridSpan w:val="2"/>
            <w:vMerge w:val="restart"/>
            <w:tcBorders>
              <w:top w:val="single" w:color="auto" w:sz="4"/>
            </w:tcBorders>
          </w:tcPr>
          <w:p>
            <w:pPr>
              <w:numPr>
                <w:ilvl w:val="0"/>
                <w:numId w:val="4"/>
              </w:num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Open offer</w:t>
            </w:r>
          </w:p>
        </w:tc>
        <w:tc>
          <w:tcPr>
            <w:tcW w:type="dxa" w:w="1037"/>
            <w:vAlign w:val="center"/>
            <w:gridSpan w:val="2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At price :</w:t>
            </w:r>
          </w:p>
        </w:tc>
        <w:tc>
          <w:tcPr>
            <w:tcW w:type="dxa" w:w="840"/>
            <w:vAlign w:val="center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State </w:t>
            </w:r>
            <w:r>
              <w:rPr>
                <w:sz w:val="20"/>
                <w:szCs w:val="20"/>
                <w:rFonts w:ascii="Arial" w:hAnsi="Arial" w:cs="Arial"/>
              </w:rPr>
              <w:t>currency</w:t>
            </w:r>
          </w:p>
        </w:tc>
        <w:tc>
          <w:tcPr>
            <w:tcW w:type="dxa" w:w="60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vMerge w:val="restart"/>
            <w:tcBorders>
              <w:top w:val="single" w:color="auto" w:sz="4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both"/>
              <w:rPr>
                <w:i w:val="1"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Issue and allotment </w:t>
            </w:r>
            <w:r>
              <w:rPr>
                <w:sz w:val="20"/>
                <w:szCs w:val="20"/>
                <w:rFonts w:ascii="Arial" w:hAnsi="Arial" w:cs="Arial"/>
              </w:rPr>
              <w:t xml:space="preserve">date : 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date: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vMerge w:val="restart"/>
            <w:tcBorders>
              <w:bottom w:val="nil" w:color="auto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________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</w:tc>
        <w:tc>
          <w:tcPr>
            <w:tcW w:type="dxa" w:w="180"/>
            <w:vAlign w:val="top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vMerge w:val="restart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396"/>
            <w:vAlign w:val="bottom"/>
            <w:gridSpan w:val="2"/>
            <w:vMerge w:val="restart"/>
            <w:tcBorders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vMerge w:val="restart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</w:tr>
      <w:tr>
        <w:trPr>
          <w:trHeight w:hRule="atleast" w:val="1102"/>
          <w:cantSplit/>
        </w:trPr>
        <w:tc>
          <w:tcPr>
            <w:tcW w:type="dxa" w:w="1871"/>
            <w:vAlign w:val="center"/>
            <w:gridSpan w:val="2"/>
            <w:vMerge/>
            <w:tcBorders>
              <w:top w:val="single" w:color="auto" w:sz="4"/>
            </w:tcBorders>
          </w:tcPr>
          <w:p/>
        </w:tc>
        <w:tc>
          <w:tcPr>
            <w:tcW w:type="dxa" w:w="1037"/>
            <w:vAlign w:val="center"/>
            <w:gridSpan w:val="2"/>
            <w:vMerge/>
            <w:tcBorders>
              <w:top w:val="single" w:color="auto" w:sz="4"/>
            </w:tcBorders>
          </w:tcPr>
          <w:p/>
        </w:tc>
        <w:tc>
          <w:tcPr>
            <w:tcW w:type="dxa" w:w="840"/>
            <w:vAlign w:val="center"/>
            <w:vMerge/>
            <w:tcBorders>
              <w:top w:val="single" w:color="auto" w:sz="4"/>
            </w:tcBorders>
          </w:tcPr>
          <w:p/>
        </w:tc>
        <w:tc>
          <w:tcPr>
            <w:tcW w:type="dxa" w:w="60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/>
            <w:tcBorders>
              <w:top w:val="single" w:color="auto" w:sz="4"/>
            </w:tcBorders>
          </w:tcPr>
          <w:p/>
        </w:tc>
        <w:tc>
          <w:tcPr>
            <w:tcW w:type="dxa" w:w="2040"/>
            <w:vAlign w:val="top"/>
            <w:gridSpan w:val="2"/>
            <w:vMerge/>
            <w:tcBorders>
              <w:top w:val="single" w:color="auto" w:sz="4"/>
            </w:tcBorders>
          </w:tcPr>
          <w:p/>
        </w:tc>
        <w:tc>
          <w:tcPr>
            <w:tcW w:type="dxa" w:w="1140"/>
            <w:vAlign w:val="top"/>
            <w:vMerge/>
            <w:tcBorders>
              <w:bottom w:val="nil" w:color="auto"/>
              <w:top w:val="single" w:color="auto" w:sz="4"/>
            </w:tcBorders>
          </w:tcPr>
          <w:p/>
        </w:tc>
        <w:tc>
          <w:tcPr>
            <w:tcW w:type="dxa" w:w="180"/>
            <w:vAlign w:val="top"/>
            <w:vMerge/>
            <w:tcBorders>
              <w:top w:val="single" w:color="auto" w:sz="4"/>
            </w:tcBorders>
          </w:tcPr>
          <w:p/>
        </w:tc>
        <w:tc>
          <w:tcPr>
            <w:tcW w:type="dxa" w:w="180"/>
            <w:vAlign w:val="bottom"/>
            <w:vMerge/>
            <w:tcBorders>
              <w:top w:val="single" w:color="auto" w:sz="4"/>
            </w:tcBorders>
          </w:tcPr>
          <w:p/>
        </w:tc>
        <w:tc>
          <w:tcPr>
            <w:tcW w:type="dxa" w:w="810"/>
            <w:vAlign w:val="bottom"/>
            <w:vMerge/>
            <w:tcBorders>
              <w:bottom w:val="single" w:color="auto" w:sz="4"/>
              <w:top w:val="single" w:color="auto" w:sz="4"/>
            </w:tcBorders>
          </w:tcPr>
          <w:p/>
        </w:tc>
        <w:tc>
          <w:tcPr>
            <w:tcW w:type="dxa" w:w="396"/>
            <w:vAlign w:val="bottom"/>
            <w:gridSpan w:val="2"/>
            <w:vMerge/>
            <w:tcBorders>
              <w:top w:val="single" w:color="auto" w:sz="4"/>
            </w:tcBorders>
            <w:shd w:val="clear" w:color="000000"/>
          </w:tcPr>
          <w:p/>
        </w:tc>
        <w:tc>
          <w:tcPr>
            <w:tcW w:type="dxa" w:w="774"/>
            <w:vAlign w:val="bottom"/>
            <w:vMerge/>
            <w:tcBorders>
              <w:bottom w:val="single" w:color="auto" w:sz="4"/>
              <w:top w:val="single" w:color="auto" w:sz="4"/>
            </w:tcBorders>
            <w:shd w:val="clear" w:color="000000"/>
          </w:tcPr>
          <w:p/>
        </w:tc>
      </w:tr>
      <w:tr>
        <w:trPr>
          <w:trHeight w:hRule="atleast" w:val="728"/>
          <w:cantSplit/>
        </w:trPr>
        <w:tc>
          <w:tcPr>
            <w:tcW w:type="dxa" w:w="1871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37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96"/>
            <w:vAlign w:val="bottom"/>
            <w:gridSpan w:val="2"/>
            <w:tcBorders>
              <w:bottom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084"/>
          <w:cantSplit/>
        </w:trPr>
        <w:tc>
          <w:tcPr>
            <w:tcW w:type="dxa" w:w="1871"/>
            <w:vAlign w:val="center"/>
            <w:gridSpan w:val="2"/>
            <w:vMerge w:val="restart"/>
            <w:tcBorders>
              <w:top w:val="single" w:color="auto" w:sz="4"/>
            </w:tcBorders>
          </w:tcPr>
          <w:p>
            <w:pPr>
              <w:numPr>
                <w:ilvl w:val="0"/>
                <w:numId w:val="4"/>
              </w:num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Placing</w:t>
            </w:r>
          </w:p>
        </w:tc>
        <w:tc>
          <w:tcPr>
            <w:tcW w:type="dxa" w:w="1037"/>
            <w:vAlign w:val="center"/>
            <w:gridSpan w:val="2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At price :</w:t>
            </w:r>
          </w:p>
        </w:tc>
        <w:tc>
          <w:tcPr>
            <w:tcW w:type="dxa" w:w="840"/>
            <w:vAlign w:val="center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State </w:t>
            </w:r>
            <w:r>
              <w:rPr>
                <w:sz w:val="20"/>
                <w:szCs w:val="20"/>
                <w:rFonts w:ascii="Arial" w:hAnsi="Arial" w:cs="Arial"/>
              </w:rPr>
              <w:t>currency</w:t>
            </w:r>
          </w:p>
        </w:tc>
        <w:tc>
          <w:tcPr>
            <w:tcW w:type="dxa" w:w="60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vMerge w:val="restart"/>
            <w:tcBorders>
              <w:top w:val="single" w:color="auto" w:sz="4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both"/>
              <w:rPr>
                <w:i w:val="1"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Issue and allotment </w:t>
            </w:r>
            <w:r>
              <w:rPr>
                <w:sz w:val="20"/>
                <w:szCs w:val="20"/>
                <w:rFonts w:ascii="Arial" w:hAnsi="Arial" w:cs="Arial"/>
              </w:rPr>
              <w:t xml:space="preserve">date : 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date: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vMerge w:val="restart"/>
            <w:tcBorders>
              <w:bottom w:val="nil" w:color="auto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________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</w:tc>
        <w:tc>
          <w:tcPr>
            <w:tcW w:type="dxa" w:w="180"/>
            <w:vAlign w:val="top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vMerge w:val="restart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396"/>
            <w:vAlign w:val="bottom"/>
            <w:gridSpan w:val="2"/>
            <w:vMerge w:val="restart"/>
            <w:tcBorders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vMerge w:val="restart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</w:tr>
      <w:tr>
        <w:trPr>
          <w:trHeight w:hRule="atleast" w:val="1084"/>
          <w:cantSplit/>
        </w:trPr>
        <w:tc>
          <w:tcPr>
            <w:tcW w:type="dxa" w:w="1871"/>
            <w:vAlign w:val="center"/>
            <w:gridSpan w:val="2"/>
            <w:vMerge/>
            <w:tcBorders>
              <w:top w:val="single" w:color="auto" w:sz="4"/>
            </w:tcBorders>
          </w:tcPr>
          <w:p/>
        </w:tc>
        <w:tc>
          <w:tcPr>
            <w:tcW w:type="dxa" w:w="1037"/>
            <w:vAlign w:val="center"/>
            <w:gridSpan w:val="2"/>
            <w:vMerge/>
            <w:tcBorders>
              <w:top w:val="single" w:color="auto" w:sz="4"/>
            </w:tcBorders>
          </w:tcPr>
          <w:p/>
        </w:tc>
        <w:tc>
          <w:tcPr>
            <w:tcW w:type="dxa" w:w="840"/>
            <w:vAlign w:val="center"/>
            <w:vMerge/>
            <w:tcBorders>
              <w:top w:val="single" w:color="auto" w:sz="4"/>
            </w:tcBorders>
          </w:tcPr>
          <w:p/>
        </w:tc>
        <w:tc>
          <w:tcPr>
            <w:tcW w:type="dxa" w:w="60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/>
            <w:tcBorders>
              <w:top w:val="single" w:color="auto" w:sz="4"/>
            </w:tcBorders>
          </w:tcPr>
          <w:p/>
        </w:tc>
        <w:tc>
          <w:tcPr>
            <w:tcW w:type="dxa" w:w="2040"/>
            <w:vAlign w:val="top"/>
            <w:gridSpan w:val="2"/>
            <w:vMerge/>
            <w:tcBorders>
              <w:top w:val="single" w:color="auto" w:sz="4"/>
            </w:tcBorders>
          </w:tcPr>
          <w:p/>
        </w:tc>
        <w:tc>
          <w:tcPr>
            <w:tcW w:type="dxa" w:w="1140"/>
            <w:vAlign w:val="top"/>
            <w:vMerge/>
            <w:tcBorders>
              <w:bottom w:val="nil" w:color="auto"/>
              <w:top w:val="single" w:color="auto" w:sz="4"/>
            </w:tcBorders>
          </w:tcPr>
          <w:p/>
        </w:tc>
        <w:tc>
          <w:tcPr>
            <w:tcW w:type="dxa" w:w="180"/>
            <w:vAlign w:val="top"/>
            <w:vMerge/>
            <w:tcBorders>
              <w:top w:val="single" w:color="auto" w:sz="4"/>
            </w:tcBorders>
          </w:tcPr>
          <w:p/>
        </w:tc>
        <w:tc>
          <w:tcPr>
            <w:tcW w:type="dxa" w:w="180"/>
            <w:vAlign w:val="bottom"/>
            <w:vMerge/>
            <w:tcBorders>
              <w:top w:val="single" w:color="auto" w:sz="4"/>
            </w:tcBorders>
          </w:tcPr>
          <w:p/>
        </w:tc>
        <w:tc>
          <w:tcPr>
            <w:tcW w:type="dxa" w:w="810"/>
            <w:vAlign w:val="bottom"/>
            <w:vMerge/>
            <w:tcBorders>
              <w:bottom w:val="single" w:color="auto" w:sz="4"/>
              <w:top w:val="single" w:color="auto" w:sz="4"/>
            </w:tcBorders>
          </w:tcPr>
          <w:p/>
        </w:tc>
        <w:tc>
          <w:tcPr>
            <w:tcW w:type="dxa" w:w="396"/>
            <w:vAlign w:val="bottom"/>
            <w:gridSpan w:val="2"/>
            <w:vMerge/>
            <w:tcBorders>
              <w:top w:val="single" w:color="auto" w:sz="4"/>
            </w:tcBorders>
            <w:shd w:val="clear" w:color="000000"/>
          </w:tcPr>
          <w:p/>
        </w:tc>
        <w:tc>
          <w:tcPr>
            <w:tcW w:type="dxa" w:w="774"/>
            <w:vAlign w:val="bottom"/>
            <w:vMerge/>
            <w:tcBorders>
              <w:bottom w:val="single" w:color="auto" w:sz="4"/>
              <w:top w:val="single" w:color="auto" w:sz="4"/>
            </w:tcBorders>
            <w:shd w:val="clear" w:color="000000"/>
          </w:tcPr>
          <w:p/>
        </w:tc>
      </w:tr>
      <w:tr>
        <w:trPr>
          <w:trHeight w:hRule="atleast" w:val="728"/>
          <w:cantSplit/>
        </w:trPr>
        <w:tc>
          <w:tcPr>
            <w:tcW w:type="dxa" w:w="1871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37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96"/>
            <w:vAlign w:val="bottom"/>
            <w:gridSpan w:val="2"/>
            <w:tcBorders>
              <w:bottom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952"/>
          <w:cantSplit/>
        </w:trPr>
        <w:tc>
          <w:tcPr>
            <w:tcW w:type="dxa" w:w="1871"/>
            <w:vAlign w:val="center"/>
            <w:gridSpan w:val="2"/>
            <w:vMerge w:val="restart"/>
            <w:tcBorders>
              <w:top w:val="single" w:color="auto" w:sz="4"/>
            </w:tcBorders>
          </w:tcPr>
          <w:p>
            <w:pPr>
              <w:numPr>
                <w:ilvl w:val="0"/>
                <w:numId w:val="4"/>
              </w:num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Bonus issue</w:t>
            </w:r>
          </w:p>
        </w:tc>
        <w:tc>
          <w:tcPr>
            <w:tcW w:type="dxa" w:w="1037"/>
            <w:vAlign w:val="center"/>
            <w:gridSpan w:val="2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vMerge w:val="restart"/>
            <w:tcBorders>
              <w:top w:val="single" w:color="auto" w:sz="4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both"/>
              <w:rPr>
                <w:i w:val="1"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Issue and allotment </w:t>
            </w:r>
            <w:r>
              <w:rPr>
                <w:sz w:val="20"/>
                <w:szCs w:val="20"/>
                <w:rFonts w:ascii="Arial" w:hAnsi="Arial" w:cs="Arial"/>
              </w:rPr>
              <w:t xml:space="preserve">date : 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date: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vMerge w:val="restart"/>
            <w:tcBorders>
              <w:bottom w:val="nil" w:color="auto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________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</w:tc>
        <w:tc>
          <w:tcPr>
            <w:tcW w:type="dxa" w:w="180"/>
            <w:vAlign w:val="top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vMerge w:val="restart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396"/>
            <w:vAlign w:val="bottom"/>
            <w:gridSpan w:val="2"/>
            <w:vMerge w:val="restart"/>
            <w:tcBorders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vMerge w:val="restart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</w:tr>
      <w:tr>
        <w:trPr>
          <w:trHeight w:hRule="atleast" w:val="952"/>
          <w:cantSplit/>
        </w:trPr>
        <w:tc>
          <w:tcPr>
            <w:tcW w:type="dxa" w:w="1871"/>
            <w:vAlign w:val="center"/>
            <w:gridSpan w:val="2"/>
            <w:vMerge/>
            <w:tcBorders>
              <w:top w:val="single" w:color="auto" w:sz="4"/>
            </w:tcBorders>
          </w:tcPr>
          <w:p/>
        </w:tc>
        <w:tc>
          <w:tcPr>
            <w:tcW w:type="dxa" w:w="1037"/>
            <w:vAlign w:val="center"/>
            <w:gridSpan w:val="2"/>
            <w:vMerge/>
            <w:tcBorders>
              <w:top w:val="single" w:color="auto" w:sz="4"/>
            </w:tcBorders>
          </w:tcPr>
          <w:p/>
        </w:tc>
        <w:tc>
          <w:tcPr>
            <w:tcW w:type="dxa" w:w="840"/>
            <w:vAlign w:val="center"/>
            <w:vMerge/>
            <w:tcBorders>
              <w:top w:val="single" w:color="auto" w:sz="4"/>
            </w:tcBorders>
          </w:tcPr>
          <w:p/>
        </w:tc>
        <w:tc>
          <w:tcPr>
            <w:tcW w:type="dxa" w:w="600"/>
            <w:vAlign w:val="bottom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/>
            <w:tcBorders>
              <w:top w:val="single" w:color="auto" w:sz="4"/>
            </w:tcBorders>
          </w:tcPr>
          <w:p/>
        </w:tc>
        <w:tc>
          <w:tcPr>
            <w:tcW w:type="dxa" w:w="2040"/>
            <w:vAlign w:val="top"/>
            <w:gridSpan w:val="2"/>
            <w:vMerge/>
            <w:tcBorders>
              <w:top w:val="single" w:color="auto" w:sz="4"/>
            </w:tcBorders>
          </w:tcPr>
          <w:p/>
        </w:tc>
        <w:tc>
          <w:tcPr>
            <w:tcW w:type="dxa" w:w="1140"/>
            <w:vAlign w:val="top"/>
            <w:vMerge/>
            <w:tcBorders>
              <w:bottom w:val="nil" w:color="auto"/>
              <w:top w:val="single" w:color="auto" w:sz="4"/>
            </w:tcBorders>
          </w:tcPr>
          <w:p/>
        </w:tc>
        <w:tc>
          <w:tcPr>
            <w:tcW w:type="dxa" w:w="180"/>
            <w:vAlign w:val="top"/>
            <w:vMerge/>
            <w:tcBorders>
              <w:top w:val="single" w:color="auto" w:sz="4"/>
            </w:tcBorders>
          </w:tcPr>
          <w:p/>
        </w:tc>
        <w:tc>
          <w:tcPr>
            <w:tcW w:type="dxa" w:w="180"/>
            <w:vAlign w:val="bottom"/>
            <w:vMerge/>
            <w:tcBorders>
              <w:top w:val="single" w:color="auto" w:sz="4"/>
            </w:tcBorders>
          </w:tcPr>
          <w:p/>
        </w:tc>
        <w:tc>
          <w:tcPr>
            <w:tcW w:type="dxa" w:w="810"/>
            <w:vAlign w:val="bottom"/>
            <w:vMerge/>
            <w:tcBorders>
              <w:bottom w:val="single" w:color="auto" w:sz="4"/>
              <w:top w:val="single" w:color="auto" w:sz="4"/>
            </w:tcBorders>
          </w:tcPr>
          <w:p/>
        </w:tc>
        <w:tc>
          <w:tcPr>
            <w:tcW w:type="dxa" w:w="396"/>
            <w:vAlign w:val="bottom"/>
            <w:gridSpan w:val="2"/>
            <w:vMerge/>
            <w:tcBorders>
              <w:top w:val="single" w:color="auto" w:sz="4"/>
            </w:tcBorders>
            <w:shd w:val="clear" w:color="000000"/>
          </w:tcPr>
          <w:p/>
        </w:tc>
        <w:tc>
          <w:tcPr>
            <w:tcW w:type="dxa" w:w="774"/>
            <w:vAlign w:val="bottom"/>
            <w:vMerge/>
            <w:tcBorders>
              <w:bottom w:val="single" w:color="auto" w:sz="4"/>
              <w:top w:val="single" w:color="auto" w:sz="4"/>
            </w:tcBorders>
            <w:shd w:val="clear" w:color="000000"/>
          </w:tcPr>
          <w:p/>
        </w:tc>
      </w:tr>
      <w:tr>
        <w:trPr>
          <w:trHeight w:hRule="atleast" w:val="979"/>
          <w:cantSplit/>
        </w:trPr>
        <w:tc>
          <w:tcPr>
            <w:tcW w:type="dxa" w:w="1871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37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96"/>
            <w:vAlign w:val="bottom"/>
            <w:gridSpan w:val="2"/>
            <w:tcBorders>
              <w:bottom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728"/>
          <w:cantSplit/>
        </w:trPr>
        <w:tc>
          <w:tcPr>
            <w:tcW w:type="dxa" w:w="1871"/>
            <w:vAlign w:val="center"/>
            <w:gridSpan w:val="2"/>
            <w:tcBorders>
              <w:bottom w:val="nil" w:color="auto"/>
              <w:left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 w:hint="eastAsia"/>
              </w:rPr>
            </w:pPr>
          </w:p>
        </w:tc>
        <w:tc>
          <w:tcPr>
            <w:tcW w:type="dxa" w:w="1037"/>
            <w:vAlign w:val="center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nil" w:color="auto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top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96"/>
            <w:vAlign w:val="bottom"/>
            <w:gridSpan w:val="2"/>
            <w:tcBorders>
              <w:bottom w:val="nil" w:color="auto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nil" w:color="auto"/>
              <w:right w:val="nil" w:color="auto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728"/>
          <w:cantSplit/>
        </w:trPr>
        <w:tc>
          <w:tcPr>
            <w:tcW w:type="dxa" w:w="1871"/>
            <w:vAlign w:val="center"/>
            <w:gridSpan w:val="2"/>
            <w:tcBorders>
              <w:bottom w:val="nil" w:color="auto"/>
              <w:left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37"/>
            <w:vAlign w:val="center"/>
            <w:gridSpan w:val="2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nil" w:color="auto"/>
              <w:top w:val="nil" w:color="auto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top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nil" w:color="auto"/>
              <w:top w:val="nil" w:color="auto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96"/>
            <w:vAlign w:val="bottom"/>
            <w:gridSpan w:val="2"/>
            <w:tcBorders>
              <w:bottom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476"/>
          <w:cantSplit/>
        </w:trPr>
        <w:tc>
          <w:tcPr>
            <w:tcW w:type="dxa" w:w="1871"/>
            <w:vAlign w:val="center"/>
            <w:gridSpan w:val="2"/>
            <w:vMerge w:val="restart"/>
            <w:tcBorders>
              <w:top w:val="nil" w:color="auto"/>
            </w:tcBorders>
          </w:tcPr>
          <w:p>
            <w:pPr>
              <w:numPr>
                <w:ilvl w:val="0"/>
                <w:numId w:val="4"/>
              </w:num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Scrip dividend</w:t>
            </w:r>
          </w:p>
        </w:tc>
        <w:tc>
          <w:tcPr>
            <w:tcW w:type="dxa" w:w="1037"/>
            <w:vAlign w:val="center"/>
            <w:gridSpan w:val="2"/>
            <w:vMerge w:val="restart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At price :</w:t>
            </w:r>
          </w:p>
        </w:tc>
        <w:tc>
          <w:tcPr>
            <w:tcW w:type="dxa" w:w="840"/>
            <w:vAlign w:val="center"/>
            <w:vMerge w:val="restart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State </w:t>
            </w:r>
            <w:r>
              <w:rPr>
                <w:sz w:val="20"/>
                <w:szCs w:val="20"/>
                <w:rFonts w:ascii="Arial" w:hAnsi="Arial" w:cs="Arial"/>
              </w:rPr>
              <w:t>currency</w:t>
            </w:r>
          </w:p>
        </w:tc>
        <w:tc>
          <w:tcPr>
            <w:tcW w:type="dxa" w:w="600"/>
            <w:vAlign w:val="bottom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 w:val="restart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vMerge w:val="restart"/>
            <w:tcBorders>
              <w:bottom w:val="nil" w:color="auto"/>
              <w:top w:val="nil" w:color="auto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both"/>
              <w:rPr>
                <w:i w:val="1"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Issue and allotment </w:t>
            </w:r>
            <w:r>
              <w:rPr>
                <w:sz w:val="20"/>
                <w:szCs w:val="20"/>
                <w:rFonts w:ascii="Arial" w:hAnsi="Arial" w:cs="Arial"/>
              </w:rPr>
              <w:t xml:space="preserve">date : 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date: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vMerge w:val="restart"/>
            <w:tcBorders>
              <w:bottom w:val="nil" w:color="auto"/>
              <w:top w:val="nil" w:color="auto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________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</w:tc>
        <w:tc>
          <w:tcPr>
            <w:tcW w:type="dxa" w:w="180"/>
            <w:vAlign w:val="top"/>
            <w:vMerge w:val="restart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vMerge w:val="restart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vMerge w:val="restart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396"/>
            <w:vAlign w:val="bottom"/>
            <w:gridSpan w:val="2"/>
            <w:vMerge w:val="restart"/>
            <w:tcBorders>
              <w:bottom w:val="nil" w:color="auto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vMerge w:val="restart"/>
            <w:tcBorders>
              <w:bottom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</w:tr>
      <w:tr>
        <w:trPr>
          <w:trHeight w:hRule="atleast" w:val="476"/>
          <w:cantSplit/>
        </w:trPr>
        <w:tc>
          <w:tcPr>
            <w:tcW w:type="dxa" w:w="1871"/>
            <w:vAlign w:val="center"/>
            <w:gridSpan w:val="2"/>
            <w:vMerge/>
            <w:tcBorders>
              <w:top w:val="nil" w:color="auto"/>
            </w:tcBorders>
          </w:tcPr>
          <w:p/>
        </w:tc>
        <w:tc>
          <w:tcPr>
            <w:tcW w:type="dxa" w:w="1037"/>
            <w:vAlign w:val="center"/>
            <w:gridSpan w:val="2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840"/>
            <w:vAlign w:val="center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6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2040"/>
            <w:vAlign w:val="top"/>
            <w:gridSpan w:val="2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1140"/>
            <w:vAlign w:val="top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180"/>
            <w:vAlign w:val="top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180"/>
            <w:vAlign w:val="bottom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810"/>
            <w:vAlign w:val="bottom"/>
            <w:vMerge/>
            <w:tcBorders>
              <w:bottom w:val="single" w:color="auto" w:sz="4"/>
              <w:top w:val="nil" w:color="auto"/>
            </w:tcBorders>
          </w:tcPr>
          <w:p/>
        </w:tc>
        <w:tc>
          <w:tcPr>
            <w:tcW w:type="dxa" w:w="396"/>
            <w:vAlign w:val="bottom"/>
            <w:gridSpan w:val="2"/>
            <w:vMerge/>
            <w:tcBorders>
              <w:bottom w:val="nil" w:color="auto"/>
              <w:top w:val="nil" w:color="auto"/>
            </w:tcBorders>
            <w:shd w:val="clear" w:color="000000"/>
          </w:tcPr>
          <w:p/>
        </w:tc>
        <w:tc>
          <w:tcPr>
            <w:tcW w:type="dxa" w:w="774"/>
            <w:vAlign w:val="bottom"/>
            <w:vMerge/>
            <w:tcBorders>
              <w:bottom w:val="single" w:color="auto" w:sz="4"/>
              <w:top w:val="nil" w:color="auto"/>
            </w:tcBorders>
            <w:shd w:val="clear" w:color="000000"/>
          </w:tcPr>
          <w:p/>
        </w:tc>
      </w:tr>
      <w:tr>
        <w:trPr>
          <w:trHeight w:hRule="atleast" w:val="476"/>
          <w:cantSplit/>
        </w:trPr>
        <w:tc>
          <w:tcPr>
            <w:tcW w:type="dxa" w:w="1871"/>
            <w:vAlign w:val="center"/>
            <w:gridSpan w:val="2"/>
            <w:vMerge/>
            <w:tcBorders>
              <w:top w:val="nil" w:color="auto"/>
            </w:tcBorders>
          </w:tcPr>
          <w:p/>
        </w:tc>
        <w:tc>
          <w:tcPr>
            <w:tcW w:type="dxa" w:w="1037"/>
            <w:vAlign w:val="center"/>
            <w:gridSpan w:val="2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840"/>
            <w:vAlign w:val="center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60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2040"/>
            <w:vAlign w:val="top"/>
            <w:gridSpan w:val="2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1140"/>
            <w:vAlign w:val="top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180"/>
            <w:vAlign w:val="top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180"/>
            <w:vAlign w:val="bottom"/>
            <w:vMerge/>
            <w:tcBorders>
              <w:bottom w:val="nil" w:color="auto"/>
              <w:top w:val="nil" w:color="auto"/>
            </w:tcBorders>
          </w:tcPr>
          <w:p/>
        </w:tc>
        <w:tc>
          <w:tcPr>
            <w:tcW w:type="dxa" w:w="810"/>
            <w:vAlign w:val="bottom"/>
            <w:vMerge/>
            <w:tcBorders>
              <w:bottom w:val="single" w:color="auto" w:sz="4"/>
              <w:top w:val="nil" w:color="auto"/>
            </w:tcBorders>
          </w:tcPr>
          <w:p/>
        </w:tc>
        <w:tc>
          <w:tcPr>
            <w:tcW w:type="dxa" w:w="396"/>
            <w:vAlign w:val="bottom"/>
            <w:gridSpan w:val="2"/>
            <w:vMerge/>
            <w:tcBorders>
              <w:bottom w:val="nil" w:color="auto"/>
              <w:top w:val="nil" w:color="auto"/>
            </w:tcBorders>
            <w:shd w:val="clear" w:color="000000"/>
          </w:tcPr>
          <w:p/>
        </w:tc>
        <w:tc>
          <w:tcPr>
            <w:tcW w:type="dxa" w:w="774"/>
            <w:vAlign w:val="bottom"/>
            <w:vMerge/>
            <w:tcBorders>
              <w:bottom w:val="single" w:color="auto" w:sz="4"/>
              <w:top w:val="nil" w:color="auto"/>
            </w:tcBorders>
            <w:shd w:val="clear" w:color="000000"/>
          </w:tcPr>
          <w:p/>
        </w:tc>
      </w:tr>
      <w:tr>
        <w:trPr>
          <w:trHeight w:hRule="atleast" w:val="728"/>
          <w:cantSplit/>
        </w:trPr>
        <w:tc>
          <w:tcPr>
            <w:tcW w:type="dxa" w:w="1871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37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96"/>
            <w:vAlign w:val="bottom"/>
            <w:gridSpan w:val="2"/>
            <w:tcBorders>
              <w:bottom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728"/>
          <w:cantSplit/>
        </w:trPr>
        <w:tc>
          <w:tcPr>
            <w:tcW w:type="dxa" w:w="1871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4"/>
              </w:num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Repurchase of </w:t>
            </w:r>
            <w:r>
              <w:rPr>
                <w:sz w:val="20"/>
                <w:szCs w:val="20"/>
                <w:rFonts w:ascii="Arial" w:hAnsi="Arial" w:cs="Arial"/>
              </w:rPr>
              <w:t>shares</w:t>
            </w:r>
          </w:p>
        </w:tc>
        <w:tc>
          <w:tcPr>
            <w:tcW w:type="dxa" w:w="1037"/>
            <w:vAlign w:val="center"/>
            <w:gridSpan w:val="2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top w:val="single" w:color="auto" w:sz="4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both"/>
              <w:rPr>
                <w:i w:val="1"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repurchased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Cancellation date : </w:t>
            </w: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date: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nil" w:color="auto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________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</w:tc>
        <w:tc>
          <w:tcPr>
            <w:tcW w:type="dxa" w:w="180"/>
            <w:vAlign w:val="top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396"/>
            <w:vAlign w:val="bottom"/>
            <w:gridSpan w:val="2"/>
            <w:tcBorders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</w:tr>
      <w:tr>
        <w:trPr>
          <w:trHeight w:hRule="atleast" w:val="728"/>
          <w:cantSplit/>
        </w:trPr>
        <w:tc>
          <w:tcPr>
            <w:tcW w:type="dxa" w:w="1871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37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96"/>
            <w:vAlign w:val="bottom"/>
            <w:gridSpan w:val="2"/>
            <w:tcBorders>
              <w:bottom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728"/>
          <w:cantSplit/>
        </w:trPr>
        <w:tc>
          <w:tcPr>
            <w:tcW w:type="dxa" w:w="1871"/>
            <w:vAlign w:val="center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numPr>
                <w:ilvl w:val="0"/>
                <w:numId w:val="4"/>
              </w:num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Redemption of </w:t>
            </w:r>
            <w:r>
              <w:rPr>
                <w:sz w:val="20"/>
                <w:szCs w:val="20"/>
                <w:rFonts w:ascii="Arial" w:hAnsi="Arial" w:cs="Arial"/>
              </w:rPr>
              <w:t>shares</w:t>
            </w:r>
          </w:p>
        </w:tc>
        <w:tc>
          <w:tcPr>
            <w:tcW w:type="dxa" w:w="1037"/>
            <w:vAlign w:val="center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both"/>
              <w:rPr>
                <w:i w:val="1"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>redeemed</w:t>
            </w:r>
            <w:r>
              <w:rPr>
                <w:sz w:val="20"/>
                <w:szCs w:val="20"/>
                <w:rFonts w:ascii="Arial" w:hAnsi="Arial" w:cs="Arial"/>
              </w:rPr>
              <w:t xml:space="preserve">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Redemption date : </w:t>
            </w: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date: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nil" w:color="auto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________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</w:tc>
        <w:tc>
          <w:tcPr>
            <w:tcW w:type="dxa" w:w="180"/>
            <w:vAlign w:val="top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396"/>
            <w:vAlign w:val="bottom"/>
            <w:gridSpan w:val="2"/>
            <w:tcBorders>
              <w:bottom w:val="nil" w:color="auto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</w:tr>
      <w:tr>
        <w:trPr>
          <w:trHeight w:hRule="atleast" w:val="728"/>
          <w:cantSplit/>
        </w:trPr>
        <w:tc>
          <w:tcPr>
            <w:tcW w:type="dxa" w:w="1871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37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96"/>
            <w:vAlign w:val="bottom"/>
            <w:gridSpan w:val="2"/>
            <w:tcBorders>
              <w:bottom w:val="single" w:color="auto" w:sz="4"/>
              <w:top w:val="nil" w:color="auto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138"/>
          <w:cantSplit/>
        </w:trPr>
        <w:tc>
          <w:tcPr>
            <w:tcW w:type="dxa" w:w="1871"/>
            <w:vAlign w:val="center"/>
            <w:gridSpan w:val="2"/>
            <w:vMerge w:val="restart"/>
            <w:tcBorders>
              <w:top w:val="single" w:color="auto" w:sz="4"/>
            </w:tcBorders>
          </w:tcPr>
          <w:p>
            <w:pPr>
              <w:numPr>
                <w:ilvl w:val="0"/>
                <w:numId w:val="4"/>
              </w:num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Consideration </w:t>
            </w:r>
            <w:r>
              <w:rPr>
                <w:sz w:val="20"/>
                <w:szCs w:val="20"/>
                <w:rFonts w:ascii="Arial" w:hAnsi="Arial" w:cs="Arial"/>
              </w:rPr>
              <w:t>issue</w:t>
            </w:r>
          </w:p>
        </w:tc>
        <w:tc>
          <w:tcPr>
            <w:tcW w:type="dxa" w:w="1037"/>
            <w:vAlign w:val="center"/>
            <w:gridSpan w:val="2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At price :</w:t>
            </w:r>
          </w:p>
        </w:tc>
        <w:tc>
          <w:tcPr>
            <w:tcW w:type="dxa" w:w="840"/>
            <w:vAlign w:val="center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State </w:t>
            </w:r>
            <w:r>
              <w:rPr>
                <w:sz w:val="20"/>
                <w:szCs w:val="20"/>
                <w:rFonts w:ascii="Arial" w:hAnsi="Arial" w:cs="Arial"/>
              </w:rPr>
              <w:t>currency</w:t>
            </w:r>
          </w:p>
        </w:tc>
        <w:tc>
          <w:tcPr>
            <w:tcW w:type="dxa" w:w="60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vMerge w:val="restart"/>
            <w:tcBorders>
              <w:top w:val="single" w:color="auto" w:sz="4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both"/>
              <w:rPr>
                <w:i w:val="1"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Issue and allotment </w:t>
            </w:r>
            <w:r>
              <w:rPr>
                <w:sz w:val="20"/>
                <w:szCs w:val="20"/>
                <w:rFonts w:ascii="Arial" w:hAnsi="Arial" w:cs="Arial"/>
              </w:rPr>
              <w:t xml:space="preserve">date : 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date: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vMerge w:val="restart"/>
            <w:tcBorders>
              <w:bottom w:val="nil" w:color="auto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________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</w:tc>
        <w:tc>
          <w:tcPr>
            <w:tcW w:type="dxa" w:w="180"/>
            <w:vAlign w:val="top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vMerge w:val="restart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vMerge w:val="restart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396"/>
            <w:vAlign w:val="bottom"/>
            <w:gridSpan w:val="2"/>
            <w:vMerge w:val="restart"/>
            <w:tcBorders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vMerge w:val="restart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</w:tr>
      <w:tr>
        <w:trPr>
          <w:trHeight w:hRule="atleast" w:val="1138"/>
          <w:cantSplit/>
        </w:trPr>
        <w:tc>
          <w:tcPr>
            <w:tcW w:type="dxa" w:w="1871"/>
            <w:vAlign w:val="center"/>
            <w:gridSpan w:val="2"/>
            <w:vMerge/>
            <w:tcBorders>
              <w:top w:val="single" w:color="auto" w:sz="4"/>
            </w:tcBorders>
          </w:tcPr>
          <w:p/>
        </w:tc>
        <w:tc>
          <w:tcPr>
            <w:tcW w:type="dxa" w:w="1037"/>
            <w:vAlign w:val="center"/>
            <w:gridSpan w:val="2"/>
            <w:vMerge/>
            <w:tcBorders>
              <w:top w:val="single" w:color="auto" w:sz="4"/>
            </w:tcBorders>
          </w:tcPr>
          <w:p/>
        </w:tc>
        <w:tc>
          <w:tcPr>
            <w:tcW w:type="dxa" w:w="840"/>
            <w:vAlign w:val="center"/>
            <w:vMerge/>
            <w:tcBorders>
              <w:top w:val="single" w:color="auto" w:sz="4"/>
            </w:tcBorders>
          </w:tcPr>
          <w:p/>
        </w:tc>
        <w:tc>
          <w:tcPr>
            <w:tcW w:type="dxa" w:w="60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/>
            <w:tcBorders>
              <w:top w:val="single" w:color="auto" w:sz="4"/>
            </w:tcBorders>
          </w:tcPr>
          <w:p/>
        </w:tc>
        <w:tc>
          <w:tcPr>
            <w:tcW w:type="dxa" w:w="2040"/>
            <w:vAlign w:val="top"/>
            <w:gridSpan w:val="2"/>
            <w:vMerge/>
            <w:tcBorders>
              <w:top w:val="single" w:color="auto" w:sz="4"/>
            </w:tcBorders>
          </w:tcPr>
          <w:p/>
        </w:tc>
        <w:tc>
          <w:tcPr>
            <w:tcW w:type="dxa" w:w="1140"/>
            <w:vAlign w:val="top"/>
            <w:vMerge/>
            <w:tcBorders>
              <w:bottom w:val="nil" w:color="auto"/>
              <w:top w:val="single" w:color="auto" w:sz="4"/>
            </w:tcBorders>
          </w:tcPr>
          <w:p/>
        </w:tc>
        <w:tc>
          <w:tcPr>
            <w:tcW w:type="dxa" w:w="180"/>
            <w:vAlign w:val="top"/>
            <w:vMerge/>
            <w:tcBorders>
              <w:top w:val="single" w:color="auto" w:sz="4"/>
            </w:tcBorders>
          </w:tcPr>
          <w:p/>
        </w:tc>
        <w:tc>
          <w:tcPr>
            <w:tcW w:type="dxa" w:w="180"/>
            <w:vAlign w:val="bottom"/>
            <w:vMerge/>
            <w:tcBorders>
              <w:top w:val="single" w:color="auto" w:sz="4"/>
            </w:tcBorders>
          </w:tcPr>
          <w:p/>
        </w:tc>
        <w:tc>
          <w:tcPr>
            <w:tcW w:type="dxa" w:w="810"/>
            <w:vAlign w:val="bottom"/>
            <w:vMerge/>
            <w:tcBorders>
              <w:bottom w:val="single" w:color="auto" w:sz="4"/>
              <w:top w:val="single" w:color="auto" w:sz="4"/>
            </w:tcBorders>
          </w:tcPr>
          <w:p/>
        </w:tc>
        <w:tc>
          <w:tcPr>
            <w:tcW w:type="dxa" w:w="396"/>
            <w:vAlign w:val="bottom"/>
            <w:gridSpan w:val="2"/>
            <w:vMerge/>
            <w:tcBorders>
              <w:top w:val="single" w:color="auto" w:sz="4"/>
            </w:tcBorders>
            <w:shd w:val="clear" w:color="000000"/>
          </w:tcPr>
          <w:p/>
        </w:tc>
        <w:tc>
          <w:tcPr>
            <w:tcW w:type="dxa" w:w="774"/>
            <w:vAlign w:val="bottom"/>
            <w:vMerge/>
            <w:tcBorders>
              <w:bottom w:val="single" w:color="auto" w:sz="4"/>
              <w:top w:val="single" w:color="auto" w:sz="4"/>
            </w:tcBorders>
            <w:shd w:val="clear" w:color="000000"/>
          </w:tcPr>
          <w:p/>
        </w:tc>
      </w:tr>
      <w:tr>
        <w:trPr>
          <w:trHeight w:hRule="atleast" w:val="264"/>
          <w:cantSplit/>
        </w:trPr>
        <w:tc>
          <w:tcPr>
            <w:tcW w:type="dxa" w:w="1871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37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96"/>
            <w:vAlign w:val="bottom"/>
            <w:gridSpan w:val="2"/>
            <w:tcBorders>
              <w:bottom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934"/>
          <w:cantSplit/>
        </w:trPr>
        <w:tc>
          <w:tcPr>
            <w:tcW w:type="dxa" w:w="1871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4"/>
              </w:num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Capital </w:t>
            </w:r>
            <w:r>
              <w:rPr>
                <w:sz w:val="20"/>
                <w:szCs w:val="20"/>
                <w:rFonts w:ascii="Arial" w:hAnsi="Arial" w:cs="Arial"/>
              </w:rPr>
              <w:t>reorganisation</w:t>
            </w:r>
          </w:p>
        </w:tc>
        <w:tc>
          <w:tcPr>
            <w:tcW w:type="dxa" w:w="1037"/>
            <w:vAlign w:val="center"/>
            <w:gridSpan w:val="2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top w:val="single" w:color="auto" w:sz="4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both"/>
              <w:rPr>
                <w:i w:val="1"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Issue and allotment </w:t>
            </w:r>
            <w:r>
              <w:rPr>
                <w:sz w:val="20"/>
                <w:szCs w:val="20"/>
                <w:rFonts w:ascii="Arial" w:hAnsi="Arial" w:cs="Arial"/>
              </w:rPr>
              <w:t xml:space="preserve">date : 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date: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nil" w:color="auto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________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  <w:p>
            <w:pPr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top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396"/>
            <w:vAlign w:val="bottom"/>
            <w:gridSpan w:val="2"/>
            <w:tcBorders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</w:tr>
      <w:tr>
        <w:trPr>
          <w:trHeight w:hRule="atleast" w:val="728"/>
          <w:cantSplit/>
        </w:trPr>
        <w:tc>
          <w:tcPr>
            <w:tcW w:type="dxa" w:w="1871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037"/>
            <w:vAlign w:val="center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4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60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14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top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96"/>
            <w:vAlign w:val="bottom"/>
            <w:gridSpan w:val="2"/>
            <w:tcBorders>
              <w:bottom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985"/>
          <w:cantSplit/>
        </w:trPr>
        <w:tc>
          <w:tcPr>
            <w:tcW w:type="dxa" w:w="1871"/>
            <w:vAlign w:val="center"/>
            <w:gridSpan w:val="2"/>
            <w:vMerge w:val="restart"/>
            <w:tcBorders>
              <w:bottom w:val="nil" w:color="auto"/>
              <w:top w:val="single" w:color="auto" w:sz="4"/>
            </w:tcBorders>
          </w:tcPr>
          <w:p>
            <w:pPr>
              <w:numPr>
                <w:ilvl w:val="0"/>
                <w:numId w:val="4"/>
              </w:num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Other</w:t>
            </w:r>
          </w:p>
          <w:p>
            <w:pPr>
              <w:spacing w:lineRule="auto" w:line="216"/>
              <w:ind w:left="360" w:hanging="36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ab/>
            </w:r>
            <w:r>
              <w:rPr>
                <w:sz w:val="20"/>
                <w:szCs w:val="20"/>
                <w:rFonts w:ascii="Arial" w:hAnsi="Arial" w:cs="Arial"/>
              </w:rPr>
              <w:t xml:space="preserve">(Please specify)</w:t>
            </w:r>
          </w:p>
        </w:tc>
        <w:tc>
          <w:tcPr>
            <w:tcW w:type="dxa" w:w="1037"/>
            <w:vAlign w:val="center"/>
            <w:gridSpan w:val="2"/>
            <w:vMerge w:val="restart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At price :</w:t>
            </w:r>
          </w:p>
        </w:tc>
        <w:tc>
          <w:tcPr>
            <w:tcW w:type="dxa" w:w="840"/>
            <w:vAlign w:val="center"/>
            <w:vMerge w:val="restart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State </w:t>
            </w:r>
            <w:r>
              <w:rPr>
                <w:sz w:val="20"/>
                <w:szCs w:val="20"/>
                <w:rFonts w:ascii="Arial" w:hAnsi="Arial" w:cs="Arial"/>
              </w:rPr>
              <w:t>currency</w:t>
            </w:r>
          </w:p>
        </w:tc>
        <w:tc>
          <w:tcPr>
            <w:tcW w:type="dxa" w:w="600"/>
            <w:vAlign w:val="bottom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 w:val="restart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040"/>
            <w:vAlign w:val="top"/>
            <w:gridSpan w:val="2"/>
            <w:vMerge w:val="restart"/>
            <w:tcBorders>
              <w:bottom w:val="nil" w:color="auto"/>
              <w:top w:val="single" w:color="auto" w:sz="4"/>
            </w:tcBorders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both"/>
              <w:rPr>
                <w:i w:val="1"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Class of shares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issuable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1)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Issue and allotment </w:t>
            </w:r>
            <w:r>
              <w:rPr>
                <w:sz w:val="20"/>
                <w:szCs w:val="20"/>
                <w:rFonts w:ascii="Arial" w:hAnsi="Arial" w:cs="Arial"/>
              </w:rPr>
              <w:t xml:space="preserve">date : (dd/mm/yyyy)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EGM approval date:</w:t>
            </w:r>
          </w:p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(dd/mm/yyyy)</w:t>
            </w:r>
          </w:p>
        </w:tc>
        <w:tc>
          <w:tcPr>
            <w:tcW w:type="dxa" w:w="1140"/>
            <w:vAlign w:val="top"/>
            <w:vMerge w:val="restart"/>
            <w:tcBorders>
              <w:bottom w:val="nil" w:color="auto"/>
              <w:top w:val="single" w:color="auto" w:sz="4"/>
            </w:tcBorders>
          </w:tcPr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________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center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   /   /       )</w:t>
            </w:r>
          </w:p>
        </w:tc>
        <w:tc>
          <w:tcPr>
            <w:tcW w:type="dxa" w:w="180"/>
            <w:vAlign w:val="top"/>
            <w:vMerge w:val="restart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180"/>
            <w:vAlign w:val="bottom"/>
            <w:vMerge w:val="restart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vMerge w:val="restart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396"/>
            <w:vAlign w:val="bottom"/>
            <w:gridSpan w:val="2"/>
            <w:vMerge w:val="restart"/>
            <w:tcBorders>
              <w:bottom w:val="nil" w:color="auto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774"/>
            <w:vAlign w:val="bottom"/>
            <w:vMerge w:val="restart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</w:tr>
      <w:tr>
        <w:trPr>
          <w:trHeight w:hRule="atleast" w:val="985"/>
          <w:cantSplit/>
        </w:trPr>
        <w:tc>
          <w:tcPr>
            <w:tcW w:type="dxa" w:w="1871"/>
            <w:vAlign w:val="center"/>
            <w:gridSpan w:val="2"/>
            <w:vMerge/>
            <w:tcBorders>
              <w:bottom w:val="nil" w:color="auto"/>
              <w:top w:val="single" w:color="auto" w:sz="4"/>
            </w:tcBorders>
          </w:tcPr>
          <w:p/>
        </w:tc>
        <w:tc>
          <w:tcPr>
            <w:tcW w:type="dxa" w:w="1037"/>
            <w:vAlign w:val="center"/>
            <w:gridSpan w:val="2"/>
            <w:vMerge/>
            <w:tcBorders>
              <w:bottom w:val="nil" w:color="auto"/>
              <w:top w:val="single" w:color="auto" w:sz="4"/>
            </w:tcBorders>
          </w:tcPr>
          <w:p/>
        </w:tc>
        <w:tc>
          <w:tcPr>
            <w:tcW w:type="dxa" w:w="840"/>
            <w:vAlign w:val="center"/>
            <w:vMerge/>
            <w:tcBorders>
              <w:bottom w:val="nil" w:color="auto"/>
              <w:top w:val="single" w:color="auto" w:sz="4"/>
            </w:tcBorders>
          </w:tcPr>
          <w:p/>
        </w:tc>
        <w:tc>
          <w:tcPr>
            <w:tcW w:type="dxa" w:w="60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40"/>
            <w:vAlign w:val="bottom"/>
            <w:vMerge/>
            <w:tcBorders>
              <w:bottom w:val="nil" w:color="auto"/>
              <w:top w:val="single" w:color="auto" w:sz="4"/>
            </w:tcBorders>
          </w:tcPr>
          <w:p/>
        </w:tc>
        <w:tc>
          <w:tcPr>
            <w:tcW w:type="dxa" w:w="2040"/>
            <w:vAlign w:val="top"/>
            <w:gridSpan w:val="2"/>
            <w:vMerge/>
            <w:tcBorders>
              <w:bottom w:val="nil" w:color="auto"/>
              <w:top w:val="single" w:color="auto" w:sz="4"/>
            </w:tcBorders>
          </w:tcPr>
          <w:p/>
        </w:tc>
        <w:tc>
          <w:tcPr>
            <w:tcW w:type="dxa" w:w="1140"/>
            <w:vAlign w:val="top"/>
            <w:vMerge/>
            <w:tcBorders>
              <w:bottom w:val="nil" w:color="auto"/>
              <w:top w:val="single" w:color="auto" w:sz="4"/>
            </w:tcBorders>
          </w:tcPr>
          <w:p/>
        </w:tc>
        <w:tc>
          <w:tcPr>
            <w:tcW w:type="dxa" w:w="180"/>
            <w:vAlign w:val="top"/>
            <w:vMerge/>
            <w:tcBorders>
              <w:bottom w:val="nil" w:color="auto"/>
              <w:top w:val="single" w:color="auto" w:sz="4"/>
            </w:tcBorders>
          </w:tcPr>
          <w:p/>
        </w:tc>
        <w:tc>
          <w:tcPr>
            <w:tcW w:type="dxa" w:w="180"/>
            <w:vAlign w:val="bottom"/>
            <w:vMerge/>
            <w:tcBorders>
              <w:bottom w:val="nil" w:color="auto"/>
              <w:top w:val="single" w:color="auto" w:sz="4"/>
            </w:tcBorders>
          </w:tcPr>
          <w:p/>
        </w:tc>
        <w:tc>
          <w:tcPr>
            <w:tcW w:type="dxa" w:w="810"/>
            <w:vAlign w:val="bottom"/>
            <w:vMerge/>
            <w:tcBorders>
              <w:bottom w:val="single" w:color="auto" w:sz="4"/>
              <w:top w:val="single" w:color="auto" w:sz="4"/>
            </w:tcBorders>
          </w:tcPr>
          <w:p/>
        </w:tc>
        <w:tc>
          <w:tcPr>
            <w:tcW w:type="dxa" w:w="396"/>
            <w:vAlign w:val="bottom"/>
            <w:gridSpan w:val="2"/>
            <w:vMerge/>
            <w:tcBorders>
              <w:bottom w:val="nil" w:color="auto"/>
              <w:top w:val="single" w:color="auto" w:sz="4"/>
            </w:tcBorders>
            <w:shd w:val="clear" w:color="000000"/>
          </w:tcPr>
          <w:p/>
        </w:tc>
        <w:tc>
          <w:tcPr>
            <w:tcW w:type="dxa" w:w="774"/>
            <w:vAlign w:val="bottom"/>
            <w:vMerge/>
            <w:tcBorders>
              <w:bottom w:val="single" w:color="auto" w:sz="4"/>
              <w:top w:val="single" w:color="auto" w:sz="4"/>
            </w:tcBorders>
            <w:shd w:val="clear" w:color="000000"/>
          </w:tcPr>
          <w:p/>
        </w:tc>
      </w:tr>
      <w:tr>
        <w:trPr>
          <w:trHeight w:hRule="atleast" w:val="305"/>
          <w:cantSplit/>
        </w:trPr>
        <w:tc>
          <w:tcPr>
            <w:tcW w:type="dxa" w:w="1871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ind w:left="480" w:firstLine="0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717"/>
            <w:vAlign w:val="bottom"/>
            <w:gridSpan w:val="5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5520"/>
            <w:vAlign w:val="bottom"/>
            <w:gridSpan w:val="9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70"/>
          <w:cantSplit/>
        </w:trPr>
        <w:tc>
          <w:tcPr>
            <w:tcW w:type="dxa" w:w="2368"/>
            <w:vAlign w:val="bottom"/>
            <w:gridSpan w:val="3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ind w:left="480" w:firstLine="0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060"/>
            <w:vAlign w:val="bottom"/>
            <w:gridSpan w:val="5"/>
            <w:tcBorders>
              <w:bottom w:val="nil" w:color="auto"/>
              <w:top w:val="single" w:color="auto" w:sz="4"/>
            </w:tcBorders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520"/>
            <w:vAlign w:val="bottom"/>
            <w:gridSpan w:val="3"/>
            <w:tcBorders>
              <w:bottom w:val="nil" w:color="auto"/>
              <w:top w:val="single" w:color="auto" w:sz="4"/>
            </w:tcBorders>
          </w:tcPr>
          <w:p>
            <w:pPr>
              <w:jc w:val="right"/>
              <w:spacing w:lineRule="auto" w:line="216" w:before="240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Total E.     (Ordinary </w:t>
            </w:r>
            <w:r>
              <w:rPr>
                <w:sz w:val="20"/>
                <w:szCs w:val="20"/>
                <w:rFonts w:ascii="Arial" w:hAnsi="Arial" w:cs="Arial"/>
              </w:rPr>
              <w:t>shares)</w:t>
            </w:r>
          </w:p>
        </w:tc>
        <w:tc>
          <w:tcPr>
            <w:tcW w:type="dxa" w:w="990"/>
            <w:vAlign w:val="bottom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NIL</w:t>
            </w:r>
          </w:p>
        </w:tc>
        <w:tc>
          <w:tcPr>
            <w:tcW w:type="dxa" w:w="360"/>
            <w:vAlign w:val="bottom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gridSpan w:val="2"/>
            <w:tcBorders>
              <w:bottom w:val="nil" w:color="auto"/>
              <w:top w:val="single" w:color="auto" w:sz="4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70"/>
          <w:cantSplit/>
        </w:trPr>
        <w:tc>
          <w:tcPr>
            <w:tcW w:type="dxa" w:w="2368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ind w:left="480" w:firstLine="0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060"/>
            <w:vAlign w:val="bottom"/>
            <w:gridSpan w:val="5"/>
            <w:tcBorders>
              <w:bottom w:val="nil" w:color="auto"/>
              <w:top w:val="nil" w:color="auto"/>
            </w:tcBorders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520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(Preference shares)</w:t>
            </w:r>
          </w:p>
        </w:tc>
        <w:tc>
          <w:tcPr>
            <w:tcW w:type="dxa" w:w="99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360"/>
            <w:vAlign w:val="bottom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70"/>
          <w:cantSplit/>
        </w:trPr>
        <w:tc>
          <w:tcPr>
            <w:tcW w:type="dxa" w:w="2368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ind w:left="480" w:firstLine="0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3060"/>
            <w:vAlign w:val="bottom"/>
            <w:gridSpan w:val="5"/>
            <w:tcBorders>
              <w:bottom w:val="nil" w:color="auto"/>
              <w:top w:val="nil" w:color="auto"/>
            </w:tcBorders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2520"/>
            <w:vAlign w:val="bottom"/>
            <w:gridSpan w:val="3"/>
            <w:tcBorders>
              <w:bottom w:val="nil" w:color="auto"/>
              <w:top w:val="nil" w:color="auto"/>
            </w:tcBorders>
          </w:tcPr>
          <w:p>
            <w:pPr>
              <w:jc w:val="right"/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(Other class)</w:t>
            </w:r>
          </w:p>
        </w:tc>
        <w:tc>
          <w:tcPr>
            <w:tcW w:type="dxa" w:w="990"/>
            <w:vAlign w:val="bottom"/>
            <w:gridSpan w:val="2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eastAsia="宋体" w:hAnsi="Arial" w:cs="Arial" w:hint="eastAsia"/>
              </w:rPr>
            </w:pPr>
            <w:r>
              <w:rPr>
                <w:sz w:val="20"/>
                <w:szCs w:val="20"/>
                <w:rFonts w:ascii="Arial" w:eastAsia="宋体" w:hAnsi="Arial" w:cs="Arial" w:hint="eastAsia"/>
              </w:rPr>
              <w:t>N/A</w:t>
            </w:r>
          </w:p>
        </w:tc>
        <w:tc>
          <w:tcPr>
            <w:tcW w:type="dxa" w:w="360"/>
            <w:vAlign w:val="bottom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  <w:tc>
          <w:tcPr>
            <w:tcW w:type="dxa" w:w="810"/>
            <w:vAlign w:val="bottom"/>
            <w:gridSpan w:val="2"/>
            <w:tcBorders>
              <w:bottom w:val="nil" w:color="auto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/>
              </w:rPr>
            </w:pPr>
          </w:p>
        </w:tc>
      </w:tr>
      <w:tr>
        <w:trPr>
          <w:trHeight w:hRule="atleast" w:val="170"/>
          <w:cantSplit/>
        </w:trPr>
        <w:tc>
          <w:tcPr>
            <w:tcW w:type="dxa" w:w="10108"/>
            <w:vAlign w:val="bottom"/>
            <w:gridSpan w:val="16"/>
            <w:tcBorders>
              <w:bottom w:val="single" w:color="auto" w:sz="4"/>
              <w:top w:val="nil" w:color="auto"/>
            </w:tcBorders>
          </w:tcPr>
          <w:p>
            <w:pPr>
              <w:spacing w:lineRule="auto" w:line="216"/>
              <w:rPr>
                <w:sz w:val="20"/>
                <w:szCs w:val="20"/>
                <w:rFonts w:ascii="Arial" w:hAnsi="Arial" w:cs="Arial" w:hint="eastAsia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080" w:type="dxa"/>
        <w:tblInd w:w="108" w:type="dxa"/>
        <w:tblLook w:val="0001E0" w:firstRow="1" w:lastRow="1" w:firstColumn="1" w:lastColumn="1" w:noHBand="0" w:noVBand="0"/>
        <w:tblLayout w:type="fixed"/>
      </w:tblPr>
      <w:tblGrid>
        <w:gridCol w:w="8059"/>
        <w:gridCol w:w="2021"/>
      </w:tblGrid>
      <w:tr>
        <w:trPr/>
        <w:tc>
          <w:tcPr>
            <w:tcW w:type="dxa" w:w="1008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hRule="atleast" w:val="383"/>
        </w:trPr>
        <w:tc>
          <w:tcPr>
            <w:tcW w:type="dxa" w:w="8059"/>
            <w:tcMar>
              <w:left w:w="108" w:type="dxa"/>
              <w:right w:w="108" w:type="dxa"/>
            </w:tcMar>
            <w:vAlign w:val="center"/>
            <w:shd w:val="clear" w:color="000000"/>
          </w:tcPr>
          <w:p>
            <w:pPr>
              <w:tabs>
                <w:tab w:val="left" w:pos="7572"/>
              </w:tabs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Total increase / (decrease) in ordinary shares during the month (i.e. Total of A to E):</w:t>
            </w:r>
            <w:r>
              <w:rPr>
                <w:sz w:val="20"/>
                <w:szCs w:val="20"/>
                <w:rFonts w:ascii="Arial" w:hAnsi="Arial" w:cs="Arial"/>
              </w:rPr>
              <w:tab/>
            </w:r>
            <w:r>
              <w:rPr>
                <w:sz w:val="20"/>
                <w:szCs w:val="20"/>
                <w:rFonts w:ascii="Arial" w:hAnsi="Arial" w:cs="Arial"/>
              </w:rPr>
              <w:t>(1)</w:t>
            </w:r>
          </w:p>
        </w:tc>
        <w:tc>
          <w:tcPr>
            <w:tcW w:type="dxa" w:w="202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top w:val="nil" w:color="auto"/>
            </w:tcBorders>
            <w:shd w:val="clear" w:color="000000"/>
          </w:tcPr>
          <w:p>
            <w:pPr>
              <w:rPr>
                <w:rFonts w:ascii="Arial" w:eastAsia="宋体" w:hAnsi="Arial" w:cs="Arial" w:hint="eastAsia"/>
              </w:rPr>
            </w:pPr>
            <w:r>
              <w:rPr>
                <w:rFonts w:ascii="Arial" w:eastAsia="宋体" w:hAnsi="Arial" w:cs="Arial"/>
              </w:rPr>
              <w:t>NIL</w:t>
            </w:r>
          </w:p>
        </w:tc>
      </w:tr>
      <w:tr>
        <w:trPr>
          <w:trHeight w:hRule="atleast" w:val="383"/>
        </w:trPr>
        <w:tc>
          <w:tcPr>
            <w:tcW w:type="dxa" w:w="8059"/>
            <w:tcMar>
              <w:left w:w="108" w:type="dxa"/>
              <w:right w:w="108" w:type="dxa"/>
            </w:tcMar>
            <w:vAlign w:val="center"/>
            <w:shd w:val="clear" w:color="000000"/>
          </w:tcPr>
          <w:p>
            <w:pPr>
              <w:tabs>
                <w:tab w:val="left" w:pos="7572"/>
              </w:tabs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ab/>
            </w:r>
            <w:r>
              <w:rPr>
                <w:sz w:val="20"/>
                <w:szCs w:val="20"/>
                <w:rFonts w:ascii="Arial" w:hAnsi="Arial" w:cs="Arial"/>
              </w:rPr>
              <w:t>(2)</w:t>
            </w:r>
          </w:p>
        </w:tc>
        <w:tc>
          <w:tcPr>
            <w:tcW w:type="dxa" w:w="202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rPr>
                <w:rFonts w:ascii="Arial" w:eastAsia="宋体" w:hAnsi="Arial" w:cs="Arial" w:hint="eastAsia"/>
              </w:rPr>
            </w:pPr>
            <w:r>
              <w:rPr>
                <w:rFonts w:ascii="Arial" w:eastAsia="宋体" w:hAnsi="Arial" w:cs="Arial" w:hint="eastAsia"/>
              </w:rPr>
              <w:t>N/A</w:t>
            </w:r>
          </w:p>
        </w:tc>
      </w:tr>
      <w:tr>
        <w:trPr>
          <w:trHeight w:hRule="atleast" w:val="383"/>
        </w:trPr>
        <w:tc>
          <w:tcPr>
            <w:tcW w:type="dxa" w:w="8059"/>
            <w:tcMar>
              <w:left w:w="108" w:type="dxa"/>
              <w:right w:w="108" w:type="dxa"/>
            </w:tcMar>
            <w:vAlign w:val="center"/>
            <w:shd w:val="clear" w:color="000000"/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Total increase / (decrease) in preference shares during the month (i.e. Total of A to E):</w:t>
            </w:r>
          </w:p>
        </w:tc>
        <w:tc>
          <w:tcPr>
            <w:tcW w:type="dxa" w:w="202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rPr>
                <w:rFonts w:ascii="Arial" w:eastAsia="宋体" w:hAnsi="Arial" w:cs="Arial" w:hint="eastAsia"/>
              </w:rPr>
            </w:pPr>
            <w:r>
              <w:rPr>
                <w:rFonts w:ascii="Arial" w:eastAsia="宋体" w:hAnsi="Arial" w:cs="Arial" w:hint="eastAsia"/>
              </w:rPr>
              <w:t>N/A</w:t>
            </w:r>
          </w:p>
        </w:tc>
      </w:tr>
      <w:tr>
        <w:trPr>
          <w:trHeight w:hRule="atleast" w:val="383"/>
        </w:trPr>
        <w:tc>
          <w:tcPr>
            <w:tcW w:type="dxa" w:w="8059"/>
            <w:tcMar>
              <w:left w:w="108" w:type="dxa"/>
              <w:right w:w="108" w:type="dxa"/>
            </w:tcMar>
            <w:vAlign w:val="center"/>
            <w:shd w:val="clear" w:color="000000"/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Total increase / (decrease) in other classes of shares during the month (i.e. Total of A to </w:t>
            </w:r>
            <w:r>
              <w:rPr>
                <w:sz w:val="20"/>
                <w:szCs w:val="20"/>
                <w:rFonts w:ascii="Arial" w:hAnsi="Arial" w:cs="Arial"/>
              </w:rPr>
              <w:t>E):</w:t>
            </w:r>
          </w:p>
        </w:tc>
        <w:tc>
          <w:tcPr>
            <w:tcW w:type="dxa" w:w="2021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top w:val="single" w:color="auto" w:sz="4"/>
            </w:tcBorders>
            <w:shd w:val="clear" w:color="000000"/>
          </w:tcPr>
          <w:p>
            <w:pPr>
              <w:rPr>
                <w:rFonts w:ascii="Arial" w:eastAsia="宋体" w:hAnsi="Arial" w:cs="Arial" w:hint="eastAsia"/>
              </w:rPr>
            </w:pPr>
            <w:r>
              <w:rPr>
                <w:rFonts w:ascii="Arial" w:eastAsia="宋体" w:hAnsi="Arial" w:cs="Arial" w:hint="eastAsia"/>
              </w:rPr>
              <w:t>N/A</w:t>
            </w:r>
          </w:p>
        </w:tc>
      </w:tr>
      <w:tr>
        <w:trPr/>
        <w:tc>
          <w:tcPr>
            <w:tcW w:type="dxa" w:w="10080"/>
            <w:tcMar>
              <w:left w:w="108" w:type="dxa"/>
              <w:right w:w="108" w:type="dxa"/>
            </w:tcMar>
            <w:vAlign w:val="top"/>
            <w:gridSpan w:val="2"/>
            <w:shd w:val="clear" w:color="000000"/>
          </w:tcPr>
          <w:p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(These figures should be the same as the relevant figures under II above (“Movements in Issued Share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>Capital”).)</w:t>
            </w:r>
          </w:p>
        </w:tc>
      </w:tr>
    </w:tbl>
    <w:p>
      <w:pPr>
        <w:pStyle w:val="PO7"/>
        <w:rPr>
          <w:b w:val="0"/>
          <w:sz w:val="22"/>
          <w:szCs w:val="22"/>
          <w:rFonts w:ascii="Arial" w:hAnsi="Arial" w:cs="Arial"/>
        </w:rPr>
      </w:pPr>
      <w:r>
        <w:rPr>
          <w:b w:val="0"/>
          <w:sz w:val="22"/>
          <w:szCs w:val="22"/>
          <w:rFonts w:ascii="Arial" w:hAnsi="Arial" w:cs="Arial"/>
        </w:rPr>
        <w:t xml:space="preserve">IV. Confirmations </w:t>
      </w:r>
    </w:p>
    <w:p>
      <w:pPr>
        <w:rPr>
          <w:sz w:val="20"/>
          <w:szCs w:val="20"/>
          <w:rFonts w:ascii="Arial" w:hAnsi="Arial" w:cs="Arial"/>
        </w:rPr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065" w:type="dxa"/>
        <w:tblInd w:w="108" w:type="dxa"/>
        <w:tblLook w:val="0004A0" w:firstRow="1" w:lastRow="0" w:firstColumn="1" w:lastColumn="0" w:noHBand="0" w:noVBand="1"/>
        <w:tblLayout w:type="fixed"/>
      </w:tblPr>
      <w:tblGrid>
        <w:gridCol w:w="10065"/>
      </w:tblGrid>
      <w:tr>
        <w:trPr/>
        <w:tc>
          <w:tcPr>
            <w:tcW w:type="dxa" w:w="10065"/>
            <w:tcMar>
              <w:left w:w="108" w:type="dxa"/>
              <w:right w:w="108" w:type="dxa"/>
            </w:tcMar>
            <w:vAlign w:val="top"/>
            <w:shd w:val="clear" w:color="000000"/>
          </w:tcPr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We hereby confirm to the best knowledge, information and belief that, in relation to each of the securities </w:t>
            </w:r>
            <w:r>
              <w:rPr>
                <w:sz w:val="20"/>
                <w:szCs w:val="20"/>
                <w:rFonts w:ascii="Arial" w:hAnsi="Arial" w:cs="Arial"/>
              </w:rPr>
              <w:t xml:space="preserve">issued by the issuer during the month as set out in Part III which has not been previously disclosed in a return </w:t>
            </w:r>
            <w:r>
              <w:rPr>
                <w:sz w:val="20"/>
                <w:szCs w:val="20"/>
                <w:rFonts w:ascii="Arial" w:hAnsi="Arial" w:cs="Arial"/>
              </w:rPr>
              <w:t xml:space="preserve">published under rule 13.25A, it has been duly authorized by the board of directors of the listed issuer and, </w:t>
            </w:r>
            <w:r>
              <w:rPr>
                <w:sz w:val="20"/>
                <w:szCs w:val="20"/>
                <w:rFonts w:ascii="Arial" w:hAnsi="Arial" w:cs="Arial"/>
              </w:rPr>
              <w:t xml:space="preserve">insofar as applicable: </w:t>
            </w:r>
          </w:p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jc w:val="both"/>
              <w:rPr>
                <w:i w:val="1"/>
                <w:sz w:val="20"/>
                <w:szCs w:val="20"/>
                <w:rFonts w:ascii="Arial" w:hAnsi="Arial" w:cs="Arial"/>
              </w:rPr>
            </w:pP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2)</w:t>
            </w:r>
          </w:p>
          <w:p>
            <w:pPr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pStyle w:val="PO26"/>
              <w:numPr>
                <w:ilvl w:val="0"/>
                <w:numId w:val="11"/>
              </w:numPr>
              <w:jc w:val="both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all money due to the listed issuer in respect of the issue of securities has been received by it; </w:t>
            </w:r>
          </w:p>
          <w:p>
            <w:pPr>
              <w:pStyle w:val="PO26"/>
              <w:jc w:val="both"/>
              <w:ind w:left="720" w:firstLine="0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pStyle w:val="PO26"/>
              <w:numPr>
                <w:ilvl w:val="0"/>
                <w:numId w:val="11"/>
              </w:numPr>
              <w:jc w:val="both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all pre-conditions for listing imposed by the Rules Governing the Listing of Securities on The Stock </w:t>
            </w:r>
            <w:r>
              <w:rPr>
                <w:sz w:val="20"/>
                <w:szCs w:val="20"/>
                <w:rFonts w:ascii="Arial" w:hAnsi="Arial" w:cs="Arial"/>
              </w:rPr>
              <w:t xml:space="preserve">Exchange of Hong Kong Limited under “Qualifications of listing” have been fulfilled; </w:t>
            </w:r>
          </w:p>
          <w:p>
            <w:pPr>
              <w:pStyle w:val="PO26"/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pStyle w:val="PO26"/>
              <w:numPr>
                <w:ilvl w:val="0"/>
                <w:numId w:val="11"/>
              </w:numPr>
              <w:jc w:val="both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all (if any) conditions contained in the formal letter granting listing of and permission to deal in the </w:t>
            </w:r>
            <w:r>
              <w:rPr>
                <w:sz w:val="20"/>
                <w:szCs w:val="20"/>
                <w:rFonts w:ascii="Arial" w:hAnsi="Arial" w:cs="Arial"/>
              </w:rPr>
              <w:t xml:space="preserve">securities have been fulfilled; </w:t>
            </w:r>
          </w:p>
          <w:p>
            <w:pPr>
              <w:pStyle w:val="PO26"/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pStyle w:val="PO26"/>
              <w:numPr>
                <w:ilvl w:val="0"/>
                <w:numId w:val="11"/>
              </w:numPr>
              <w:jc w:val="both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all the securities of each class are in all respects identical </w:t>
            </w:r>
            <w:r>
              <w:rPr>
                <w:i w:val="1"/>
                <w:sz w:val="20"/>
                <w:szCs w:val="20"/>
                <w:rFonts w:ascii="Arial" w:hAnsi="Arial" w:cs="Arial"/>
              </w:rPr>
              <w:t xml:space="preserve">(Note 3)</w:t>
            </w:r>
            <w:r>
              <w:rPr>
                <w:sz w:val="20"/>
                <w:szCs w:val="20"/>
                <w:rFonts w:ascii="Arial" w:hAnsi="Arial" w:cs="Arial"/>
              </w:rPr>
              <w:t xml:space="preserve">; </w:t>
            </w:r>
          </w:p>
          <w:p>
            <w:pPr>
              <w:pStyle w:val="PO26"/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pStyle w:val="PO26"/>
              <w:numPr>
                <w:ilvl w:val="0"/>
                <w:numId w:val="11"/>
              </w:numPr>
              <w:jc w:val="both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all documents required by the Companies (Winding Up and Miscellaneous Provisions) Ordinance to be </w:t>
            </w:r>
            <w:r>
              <w:rPr>
                <w:sz w:val="20"/>
                <w:szCs w:val="20"/>
                <w:rFonts w:ascii="Arial" w:hAnsi="Arial" w:cs="Arial"/>
              </w:rPr>
              <w:t xml:space="preserve">filed with the Registrar of Companies have been duly filed and that compliance has been made with </w:t>
            </w:r>
            <w:r>
              <w:rPr>
                <w:sz w:val="20"/>
                <w:szCs w:val="20"/>
                <w:rFonts w:ascii="Arial" w:hAnsi="Arial" w:cs="Arial"/>
              </w:rPr>
              <w:t xml:space="preserve">other legal requirements; </w:t>
            </w:r>
          </w:p>
          <w:p>
            <w:pPr>
              <w:pStyle w:val="PO26"/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pStyle w:val="PO26"/>
              <w:numPr>
                <w:ilvl w:val="0"/>
                <w:numId w:val="11"/>
              </w:numPr>
              <w:jc w:val="both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all the definitive documents of title have been delivered/are ready to be delivered/are being prepared </w:t>
            </w:r>
            <w:r>
              <w:rPr>
                <w:sz w:val="20"/>
                <w:szCs w:val="20"/>
                <w:rFonts w:ascii="Arial" w:hAnsi="Arial" w:cs="Arial"/>
              </w:rPr>
              <w:t xml:space="preserve">and will be delivered in accordance with the terms of issue; </w:t>
            </w:r>
          </w:p>
          <w:p>
            <w:pPr>
              <w:pStyle w:val="PO26"/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pStyle w:val="PO26"/>
              <w:numPr>
                <w:ilvl w:val="0"/>
                <w:numId w:val="11"/>
              </w:numPr>
              <w:jc w:val="both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completion has taken place of the purchase by the issuer of all property shown in the listing document </w:t>
            </w:r>
            <w:r>
              <w:rPr>
                <w:sz w:val="20"/>
                <w:szCs w:val="20"/>
                <w:rFonts w:ascii="Arial" w:hAnsi="Arial" w:cs="Arial"/>
              </w:rPr>
              <w:t xml:space="preserve">to have been purchased or agreed to be purchased by it and the purchase consideration for all such </w:t>
            </w:r>
            <w:r>
              <w:rPr>
                <w:sz w:val="20"/>
                <w:szCs w:val="20"/>
                <w:rFonts w:ascii="Arial" w:hAnsi="Arial" w:cs="Arial"/>
              </w:rPr>
              <w:t xml:space="preserve">property has been duly satisfied; and </w:t>
            </w:r>
          </w:p>
          <w:p>
            <w:pPr>
              <w:pStyle w:val="PO26"/>
              <w:jc w:val="both"/>
              <w:rPr>
                <w:sz w:val="20"/>
                <w:szCs w:val="20"/>
                <w:rFonts w:ascii="Arial" w:hAnsi="Arial" w:cs="Arial"/>
              </w:rPr>
            </w:pPr>
          </w:p>
          <w:p>
            <w:pPr>
              <w:pStyle w:val="PO26"/>
              <w:numPr>
                <w:ilvl w:val="0"/>
                <w:numId w:val="11"/>
              </w:numPr>
              <w:jc w:val="both"/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the trust deed/deed poll relating to the debenture, loan stock, notes or bonds has been completed and </w:t>
            </w:r>
            <w:r>
              <w:rPr>
                <w:sz w:val="20"/>
                <w:szCs w:val="20"/>
                <w:rFonts w:ascii="Arial" w:hAnsi="Arial" w:cs="Arial"/>
              </w:rPr>
              <w:t xml:space="preserve">executed, and particulars thereof, if so required by law, have been filed with the Registrar of </w:t>
            </w:r>
            <w:r>
              <w:rPr>
                <w:sz w:val="20"/>
                <w:szCs w:val="20"/>
                <w:rFonts w:ascii="Arial" w:hAnsi="Arial" w:cs="Arial"/>
              </w:rPr>
              <w:t xml:space="preserve">Companies. </w:t>
            </w:r>
          </w:p>
        </w:tc>
      </w:tr>
    </w:tbl>
    <w:p>
      <w:pPr>
        <w:rPr>
          <w:sz w:val="16"/>
          <w:szCs w:val="16"/>
          <w:rFonts w:ascii="Arial" w:hAnsi="Arial" w:cs="Arial"/>
        </w:rPr>
      </w:pPr>
    </w:p>
    <w:p>
      <w:pPr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 w:cs="Arial"/>
        </w:rPr>
        <w:t xml:space="preserve">Remarks (if any):</w:t>
      </w:r>
    </w:p>
    <w:tbl>
      <w:tblID w:val="0"/>
      <w:tblPr>
        <w:tblBorders>
          <w:bottom w:val="single" w:sz="4" w:space="0" w:color="000000"/>
          <w:insideH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188" w:type="dxa"/>
        <w:tblLook w:val="000000" w:firstRow="0" w:lastRow="0" w:firstColumn="0" w:lastColumn="0" w:noHBand="0" w:noVBand="0"/>
        <w:tblLayout w:type="fixed"/>
      </w:tblPr>
      <w:tblGrid>
        <w:gridCol w:w="10188"/>
      </w:tblGrid>
      <w:tr>
        <w:trPr>
          <w:trHeight w:hRule="atleast" w:val="320"/>
        </w:trPr>
        <w:tc>
          <w:tcPr>
            <w:tcW w:type="dxa" w:w="10188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b w:val="1"/>
                <w:sz w:val="22"/>
                <w:szCs w:val="22"/>
                <w:rFonts w:ascii="Arial" w:eastAsia="宋体" w:hAnsi="Arial" w:cs="Arial" w:hint="eastAsia"/>
              </w:rPr>
            </w:pPr>
            <w:r>
              <w:rPr>
                <w:b w:val="1"/>
                <w:sz w:val="22"/>
                <w:szCs w:val="22"/>
                <w:rFonts w:ascii="Arial" w:eastAsia="宋体" w:hAnsi="Arial" w:cs="Arial" w:hint="eastAsia"/>
              </w:rPr>
              <w:t>N/A</w:t>
            </w:r>
          </w:p>
        </w:tc>
      </w:tr>
      <w:tr>
        <w:trPr>
          <w:trHeight w:hRule="atleast" w:val="320"/>
        </w:trPr>
        <w:tc>
          <w:tcPr>
            <w:tcW w:type="dxa" w:w="10188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trHeight w:hRule="atleast" w:val="320"/>
        </w:trPr>
        <w:tc>
          <w:tcPr>
            <w:tcW w:type="dxa" w:w="10188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trHeight w:hRule="atleast" w:val="320"/>
        </w:trPr>
        <w:tc>
          <w:tcPr>
            <w:tcW w:type="dxa" w:w="10188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trHeight w:hRule="atleast" w:val="320"/>
        </w:trPr>
        <w:tc>
          <w:tcPr>
            <w:tcW w:type="dxa" w:w="10188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trHeight w:hRule="atleast" w:val="320"/>
        </w:trPr>
        <w:tc>
          <w:tcPr>
            <w:tcW w:type="dxa" w:w="10188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trHeight w:hRule="atleast" w:val="320"/>
        </w:trPr>
        <w:tc>
          <w:tcPr>
            <w:tcW w:type="dxa" w:w="10188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trHeight w:hRule="atleast" w:val="320"/>
        </w:trPr>
        <w:tc>
          <w:tcPr>
            <w:tcW w:type="dxa" w:w="10188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trHeight w:hRule="atleast" w:val="320"/>
        </w:trPr>
        <w:tc>
          <w:tcPr>
            <w:tcW w:type="dxa" w:w="10188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trHeight w:hRule="atleast" w:val="320"/>
        </w:trPr>
        <w:tc>
          <w:tcPr>
            <w:tcW w:type="dxa" w:w="10188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</w:tr>
      <w:tr>
        <w:trPr>
          <w:trHeight w:hRule="atleast" w:val="320"/>
        </w:trPr>
        <w:tc>
          <w:tcPr>
            <w:tcW w:type="dxa" w:w="10188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b w:val="1"/>
                <w:sz w:val="22"/>
                <w:szCs w:val="22"/>
                <w:rFonts w:ascii="Arial" w:hAnsi="Arial" w:cs="Arial"/>
              </w:rPr>
            </w:pPr>
          </w:p>
        </w:tc>
      </w:tr>
    </w:tbl>
    <w:p>
      <w:pPr>
        <w:pStyle w:val="PO176"/>
        <w:ind w:firstLine="0"/>
        <w:tabs>
          <w:tab w:val="right" w:pos="2040"/>
          <w:tab w:val="left" w:pos="2250"/>
        </w:tabs>
        <w:rPr>
          <w:rFonts w:ascii="Arial" w:hAnsi="Arial" w:cs="Arial"/>
        </w:rPr>
      </w:pPr>
    </w:p>
    <w:p>
      <w:pPr>
        <w:pStyle w:val="PO176"/>
        <w:ind w:firstLine="0"/>
        <w:tabs>
          <w:tab w:val="left" w:pos="-120"/>
        </w:tabs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 w:cs="Arial"/>
        </w:rPr>
        <w:t xml:space="preserve">Submitted by: </w:t>
      </w:r>
      <w:r>
        <w:rPr>
          <w:sz w:val="22"/>
          <w:szCs w:val="22"/>
          <w:rFonts w:ascii="Arial" w:hAnsi="Arial" w:cs="Arial"/>
        </w:rPr>
        <w:tab/>
      </w:r>
      <w:r>
        <w:rPr>
          <w:sz w:val="22"/>
          <w:szCs w:val="22"/>
          <w:rFonts w:ascii="Arial" w:hAnsi="Arial" w:cs="Arial"/>
        </w:rPr>
        <w:t>_</w:t>
      </w:r>
      <w:r>
        <w:rPr>
          <w:sz w:val="22"/>
          <w:szCs w:val="22"/>
          <w:u w:val="single"/>
          <w:rFonts w:ascii="Arial" w:hAnsi="Arial" w:cs="Arial"/>
        </w:rPr>
        <w:t xml:space="preserve">Franky Cheung Fong Wa</w:t>
      </w:r>
      <w:r>
        <w:rPr>
          <w:sz w:val="22"/>
          <w:szCs w:val="22"/>
          <w:rFonts w:ascii="Arial" w:hAnsi="Arial" w:cs="Arial"/>
        </w:rPr>
        <w:t>_____________________________</w:t>
      </w:r>
    </w:p>
    <w:p>
      <w:pPr>
        <w:pStyle w:val="PO176"/>
        <w:ind w:firstLine="0"/>
        <w:tabs>
          <w:tab w:val="right" w:pos="2040"/>
          <w:tab w:val="left" w:pos="2250"/>
        </w:tabs>
        <w:rPr>
          <w:sz w:val="22"/>
          <w:szCs w:val="22"/>
          <w:rFonts w:ascii="Arial" w:hAnsi="Arial" w:cs="Arial"/>
        </w:rPr>
      </w:pPr>
    </w:p>
    <w:p>
      <w:pPr>
        <w:pStyle w:val="PO176"/>
        <w:ind w:firstLine="0"/>
        <w:tabs>
          <w:tab w:val="left" w:pos="-120"/>
        </w:tabs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 w:cs="Arial"/>
        </w:rPr>
        <w:t>Title:</w:t>
      </w:r>
      <w:r>
        <w:rPr>
          <w:sz w:val="22"/>
          <w:szCs w:val="22"/>
          <w:rFonts w:ascii="Arial" w:hAnsi="Arial" w:cs="Arial"/>
        </w:rPr>
        <w:tab/>
      </w:r>
      <w:r>
        <w:rPr>
          <w:sz w:val="22"/>
          <w:szCs w:val="22"/>
          <w:rFonts w:ascii="Arial" w:hAnsi="Arial" w:cs="Arial"/>
        </w:rPr>
        <w:t>_______</w:t>
      </w:r>
      <w:r>
        <w:rPr>
          <w:sz w:val="22"/>
          <w:szCs w:val="22"/>
          <w:u w:val="single"/>
          <w:rFonts w:ascii="Arial" w:hAnsi="Arial" w:cs="Arial"/>
        </w:rPr>
        <w:t xml:space="preserve">Executive Director__</w:t>
      </w:r>
      <w:r>
        <w:rPr>
          <w:sz w:val="22"/>
          <w:szCs w:val="22"/>
          <w:rFonts w:ascii="Arial" w:hAnsi="Arial" w:cs="Arial"/>
        </w:rPr>
        <w:t>________________________________</w:t>
      </w:r>
    </w:p>
    <w:p>
      <w:pPr>
        <w:pStyle w:val="PO176"/>
        <w:ind w:firstLine="0"/>
        <w:tabs>
          <w:tab w:val="left" w:pos="0"/>
        </w:tabs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 w:cs="Arial"/>
        </w:rPr>
        <w:tab/>
      </w:r>
      <w:r>
        <w:rPr>
          <w:sz w:val="22"/>
          <w:szCs w:val="22"/>
          <w:rFonts w:ascii="Arial" w:hAnsi="Arial" w:cs="Arial"/>
        </w:rPr>
        <w:t xml:space="preserve">(Director, Secretary or other duly authorised officer)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0" w:type="auto"/>
        <w:tblInd w:w="108" w:type="dxa"/>
        <w:tblLook w:val="000000" w:firstRow="0" w:lastRow="0" w:firstColumn="0" w:lastColumn="0" w:noHBand="0" w:noVBand="0"/>
        <w:tblLayout w:type="auto"/>
      </w:tblPr>
      <w:tblGrid>
        <w:gridCol w:w="10440"/>
      </w:tblGrid>
      <w:tr>
        <w:trPr>
          <w:trHeight w:hRule="exact" w:val="360"/>
          <w:cantSplit/>
        </w:trPr>
        <w:tc>
          <w:tcPr>
            <w:tcW w:type="dxa" w:w="10440"/>
            <w:tcMar>
              <w:left w:w="108" w:type="dxa"/>
              <w:right w:w="108" w:type="dxa"/>
            </w:tcMar>
            <w:vAlign w:val="top"/>
            <w:tcBorders>
              <w:bottom w:val="single" w:color="auto" w:sz="18"/>
            </w:tcBorders>
          </w:tcPr>
          <w:p>
            <w:pPr>
              <w:rPr>
                <w:i w:val="1"/>
                <w:sz w:val="16"/>
                <w:szCs w:val="16"/>
                <w:rFonts w:ascii="Arial" w:hAnsi="Arial" w:cs="Arial"/>
              </w:rPr>
            </w:pPr>
          </w:p>
        </w:tc>
      </w:tr>
    </w:tbl>
    <w:p>
      <w:pPr>
        <w:pStyle w:val="PO176"/>
        <w:ind w:firstLine="0"/>
        <w:rPr>
          <w:sz w:val="16"/>
          <w:szCs w:val="16"/>
          <w:rFonts w:ascii="Arial" w:hAnsi="Arial" w:cs="Arial"/>
        </w:rPr>
      </w:pPr>
    </w:p>
    <w:p>
      <w:pPr>
        <w:jc w:val="both"/>
        <w:spacing w:before="60" w:after="60"/>
        <w:rPr>
          <w:i w:val="1"/>
          <w:sz w:val="22"/>
          <w:szCs w:val="22"/>
          <w:rFonts w:ascii="Arial" w:hAnsi="Arial" w:cs="Arial"/>
        </w:rPr>
      </w:pPr>
      <w:r>
        <w:rPr>
          <w:i w:val="1"/>
          <w:sz w:val="22"/>
          <w:szCs w:val="22"/>
          <w:rFonts w:ascii="Arial" w:hAnsi="Arial" w:cs="Arial"/>
        </w:rPr>
        <w:t xml:space="preserve">Notes : </w:t>
      </w:r>
      <w:r>
        <w:rPr>
          <w:i w:val="1"/>
          <w:sz w:val="22"/>
          <w:szCs w:val="22"/>
          <w:rFonts w:ascii="Arial" w:hAnsi="Arial" w:cs="Arial"/>
        </w:rPr>
        <w:tab/>
      </w:r>
    </w:p>
    <w:p>
      <w:pPr>
        <w:jc w:val="both"/>
        <w:spacing w:before="60" w:after="60"/>
        <w:rPr>
          <w:i w:val="1"/>
          <w:sz w:val="22"/>
          <w:szCs w:val="22"/>
          <w:rFonts w:ascii="Arial" w:hAnsi="Arial" w:cs="Arial"/>
        </w:rPr>
      </w:pPr>
      <w:r>
        <w:rPr>
          <w:i w:val="1"/>
          <w:sz w:val="22"/>
          <w:szCs w:val="22"/>
          <w:rFonts w:ascii="Arial" w:hAnsi="Arial" w:cs="Arial"/>
        </w:rPr>
        <w:t>1.</w:t>
      </w:r>
      <w:r>
        <w:rPr>
          <w:i w:val="1"/>
          <w:sz w:val="22"/>
          <w:szCs w:val="22"/>
          <w:rFonts w:ascii="Arial" w:hAnsi="Arial" w:cs="Arial"/>
        </w:rPr>
        <w:tab/>
      </w:r>
      <w:r>
        <w:rPr>
          <w:i w:val="1"/>
          <w:sz w:val="22"/>
          <w:szCs w:val="22"/>
          <w:rFonts w:ascii="Arial" w:hAnsi="Arial" w:cs="Arial"/>
        </w:rPr>
        <w:t xml:space="preserve">State the class of shares (e.g. ordinary, preference or other).</w:t>
      </w:r>
    </w:p>
    <w:p>
      <w:pPr>
        <w:jc w:val="both"/>
        <w:spacing w:before="60" w:after="60"/>
        <w:ind w:left="720" w:hanging="720"/>
        <w:rPr>
          <w:i w:val="1"/>
          <w:sz w:val="16"/>
          <w:szCs w:val="16"/>
          <w:rFonts w:ascii="Arial" w:hAnsi="Arial" w:cs="Arial"/>
        </w:rPr>
      </w:pPr>
    </w:p>
    <w:p>
      <w:pPr>
        <w:jc w:val="both"/>
        <w:spacing w:before="60" w:after="60"/>
        <w:ind w:left="705" w:hanging="705"/>
        <w:tabs>
          <w:tab w:val="left" w:pos="709"/>
        </w:tabs>
        <w:rPr>
          <w:i w:val="1"/>
          <w:sz w:val="22"/>
          <w:szCs w:val="22"/>
          <w:rFonts w:ascii="Arial" w:hAnsi="Arial" w:cs="Arial"/>
        </w:rPr>
      </w:pPr>
      <w:r>
        <w:rPr>
          <w:i w:val="1"/>
          <w:sz w:val="22"/>
          <w:szCs w:val="22"/>
          <w:rFonts w:ascii="Arial" w:hAnsi="Arial" w:cs="Arial"/>
        </w:rPr>
        <w:t>2.</w:t>
      </w:r>
      <w:r>
        <w:rPr>
          <w:i w:val="1"/>
          <w:sz w:val="22"/>
          <w:szCs w:val="22"/>
          <w:rFonts w:ascii="Arial" w:hAnsi="Arial" w:cs="Arial"/>
        </w:rPr>
        <w:tab/>
      </w:r>
      <w:r>
        <w:rPr>
          <w:i w:val="1"/>
          <w:sz w:val="22"/>
          <w:szCs w:val="22"/>
          <w:rFonts w:ascii="Arial" w:hAnsi="Arial" w:cs="Arial"/>
        </w:rPr>
        <w:t xml:space="preserve">Items (i) to (viii) are suggested forms of confirmation which may be amended to meet </w:t>
      </w:r>
      <w:r>
        <w:rPr>
          <w:i w:val="1"/>
          <w:sz w:val="22"/>
          <w:szCs w:val="22"/>
          <w:rFonts w:ascii="Arial" w:hAnsi="Arial" w:cs="Arial"/>
        </w:rPr>
        <w:t xml:space="preserve">individual cases.  Where the issuer has already made the relevant confirmations in a return </w:t>
      </w:r>
      <w:r>
        <w:rPr>
          <w:i w:val="1"/>
          <w:sz w:val="22"/>
          <w:szCs w:val="22"/>
          <w:rFonts w:ascii="Arial" w:hAnsi="Arial" w:cs="Arial"/>
        </w:rPr>
        <w:t xml:space="preserve">published under rule 13.25A in relation to the securities issued, no further confirmation is </w:t>
      </w:r>
      <w:r>
        <w:rPr>
          <w:i w:val="1"/>
          <w:sz w:val="22"/>
          <w:szCs w:val="22"/>
          <w:rFonts w:ascii="Arial" w:hAnsi="Arial" w:cs="Arial"/>
        </w:rPr>
        <w:t xml:space="preserve">required to be made in this return. </w:t>
      </w:r>
    </w:p>
    <w:p>
      <w:pPr>
        <w:jc w:val="both"/>
        <w:spacing w:before="60" w:after="60"/>
        <w:ind w:left="705" w:hanging="705"/>
        <w:tabs>
          <w:tab w:val="left" w:pos="709"/>
        </w:tabs>
        <w:rPr>
          <w:i w:val="1"/>
          <w:sz w:val="16"/>
          <w:szCs w:val="16"/>
          <w:rFonts w:ascii="Arial" w:hAnsi="Arial" w:cs="Arial"/>
        </w:rPr>
      </w:pPr>
    </w:p>
    <w:p>
      <w:pPr>
        <w:jc w:val="both"/>
        <w:spacing w:before="60" w:after="60"/>
        <w:tabs>
          <w:tab w:val="left" w:pos="709"/>
        </w:tabs>
        <w:rPr>
          <w:i w:val="1"/>
          <w:sz w:val="22"/>
          <w:szCs w:val="22"/>
          <w:rFonts w:ascii="Arial" w:hAnsi="Arial" w:cs="Arial"/>
        </w:rPr>
      </w:pPr>
      <w:r>
        <w:rPr>
          <w:i w:val="1"/>
          <w:sz w:val="22"/>
          <w:szCs w:val="22"/>
          <w:rFonts w:ascii="Arial" w:hAnsi="Arial" w:cs="Arial"/>
        </w:rPr>
        <w:t xml:space="preserve">3. </w:t>
      </w:r>
      <w:r>
        <w:rPr>
          <w:i w:val="1"/>
          <w:sz w:val="22"/>
          <w:szCs w:val="22"/>
          <w:rFonts w:ascii="Arial" w:hAnsi="Arial" w:cs="Arial"/>
        </w:rPr>
        <w:tab/>
      </w:r>
      <w:r>
        <w:rPr>
          <w:i w:val="1"/>
          <w:sz w:val="22"/>
          <w:szCs w:val="22"/>
          <w:rFonts w:ascii="Arial" w:hAnsi="Arial" w:cs="Arial"/>
        </w:rPr>
        <w:t xml:space="preserve">“Identical” means in this context: </w:t>
      </w:r>
    </w:p>
    <w:p>
      <w:pPr>
        <w:pStyle w:val="PO26"/>
        <w:numPr>
          <w:ilvl w:val="0"/>
          <w:numId w:val="12"/>
        </w:numPr>
        <w:jc w:val="both"/>
        <w:spacing w:before="60" w:after="60"/>
        <w:tabs>
          <w:tab w:val="left" w:pos="709"/>
        </w:tabs>
        <w:rPr>
          <w:i w:val="1"/>
          <w:sz w:val="22"/>
          <w:szCs w:val="22"/>
          <w:rFonts w:ascii="Arial" w:hAnsi="Arial" w:cs="Arial"/>
        </w:rPr>
      </w:pPr>
      <w:r>
        <w:rPr>
          <w:i w:val="1"/>
          <w:sz w:val="22"/>
          <w:szCs w:val="22"/>
          <w:rFonts w:ascii="Arial" w:hAnsi="Arial" w:cs="Arial"/>
        </w:rPr>
        <w:t xml:space="preserve">the securities are of the same nominal value with the same amount called up or paid up; </w:t>
      </w:r>
    </w:p>
    <w:p>
      <w:pPr>
        <w:pStyle w:val="PO26"/>
        <w:numPr>
          <w:ilvl w:val="0"/>
          <w:numId w:val="12"/>
        </w:numPr>
        <w:jc w:val="both"/>
        <w:spacing w:before="60" w:after="60"/>
        <w:tabs>
          <w:tab w:val="left" w:pos="709"/>
        </w:tabs>
        <w:rPr>
          <w:i w:val="1"/>
          <w:sz w:val="22"/>
          <w:szCs w:val="22"/>
          <w:rFonts w:ascii="Arial" w:hAnsi="Arial" w:cs="Arial"/>
        </w:rPr>
      </w:pPr>
      <w:r>
        <w:rPr>
          <w:i w:val="1"/>
          <w:sz w:val="22"/>
          <w:szCs w:val="22"/>
          <w:rFonts w:ascii="Arial" w:hAnsi="Arial" w:cs="Arial"/>
        </w:rPr>
        <w:t xml:space="preserve">they are entitled to dividend/interest at the same rate and for the same period, so that at </w:t>
      </w:r>
      <w:r>
        <w:rPr>
          <w:i w:val="1"/>
          <w:sz w:val="22"/>
          <w:szCs w:val="22"/>
          <w:rFonts w:ascii="Arial" w:hAnsi="Arial" w:cs="Arial"/>
        </w:rPr>
        <w:t xml:space="preserve">the next ensuing distribution, the dividend/interest payable per unit will amount to </w:t>
      </w:r>
      <w:r>
        <w:rPr>
          <w:i w:val="1"/>
          <w:sz w:val="22"/>
          <w:szCs w:val="22"/>
          <w:rFonts w:ascii="Arial" w:hAnsi="Arial" w:cs="Arial"/>
        </w:rPr>
        <w:t xml:space="preserve">exactly the same sum (gross and net); and </w:t>
      </w:r>
    </w:p>
    <w:p>
      <w:pPr>
        <w:pStyle w:val="PO26"/>
        <w:numPr>
          <w:ilvl w:val="0"/>
          <w:numId w:val="12"/>
        </w:numPr>
        <w:jc w:val="both"/>
        <w:spacing w:before="60" w:after="60"/>
        <w:tabs>
          <w:tab w:val="left" w:pos="709"/>
        </w:tabs>
        <w:rPr>
          <w:i w:val="1"/>
          <w:sz w:val="22"/>
          <w:szCs w:val="22"/>
          <w:rFonts w:ascii="Arial" w:hAnsi="Arial" w:cs="Arial"/>
        </w:rPr>
      </w:pPr>
      <w:r>
        <w:rPr>
          <w:i w:val="1"/>
          <w:sz w:val="22"/>
          <w:szCs w:val="22"/>
          <w:rFonts w:ascii="Arial" w:hAnsi="Arial" w:cs="Arial"/>
        </w:rPr>
        <w:t xml:space="preserve">they carry the same rights as to unrestricted transfer, attendance and voting at meetings </w:t>
      </w:r>
      <w:r>
        <w:rPr>
          <w:i w:val="1"/>
          <w:sz w:val="22"/>
          <w:szCs w:val="22"/>
          <w:rFonts w:ascii="Arial" w:hAnsi="Arial" w:cs="Arial"/>
        </w:rPr>
        <w:t xml:space="preserve">and rank pari passu in all other respects. </w:t>
      </w:r>
    </w:p>
    <w:p>
      <w:pPr>
        <w:jc w:val="both"/>
        <w:spacing w:before="60" w:after="60"/>
        <w:rPr>
          <w:i w:val="1"/>
          <w:sz w:val="16"/>
          <w:szCs w:val="16"/>
          <w:rFonts w:ascii="Arial" w:hAnsi="Arial" w:cs="Arial"/>
        </w:rPr>
      </w:pPr>
    </w:p>
    <w:p>
      <w:pPr>
        <w:jc w:val="both"/>
        <w:spacing w:before="60" w:after="60"/>
        <w:rPr>
          <w:i w:val="1"/>
          <w:sz w:val="22"/>
          <w:szCs w:val="22"/>
          <w:rFonts w:ascii="Arial" w:hAnsi="Arial" w:cs="Arial" w:hint="eastAsia"/>
        </w:rPr>
      </w:pPr>
      <w:r>
        <w:rPr>
          <w:i w:val="1"/>
          <w:sz w:val="22"/>
          <w:szCs w:val="22"/>
          <w:rFonts w:ascii="Arial" w:hAnsi="Arial" w:cs="Arial"/>
        </w:rPr>
        <w:t>4.</w:t>
      </w:r>
      <w:r>
        <w:rPr>
          <w:i w:val="1"/>
          <w:sz w:val="22"/>
          <w:szCs w:val="22"/>
          <w:rFonts w:ascii="Arial" w:hAnsi="Arial" w:cs="Arial"/>
        </w:rPr>
        <w:tab/>
      </w:r>
      <w:r>
        <w:rPr>
          <w:i w:val="1"/>
          <w:sz w:val="22"/>
          <w:szCs w:val="22"/>
          <w:rFonts w:ascii="Arial" w:hAnsi="Arial" w:cs="Arial"/>
        </w:rPr>
        <w:t xml:space="preserve">If there is insufficient space, please append the prescribed continuation sheet.</w:t>
      </w:r>
    </w:p>
    <w:p>
      <w:pPr>
        <w:pStyle w:val="PO176"/>
        <w:ind w:firstLine="0"/>
        <w:tabs>
          <w:tab w:val="left" w:pos="2040"/>
        </w:tabs>
        <w:rPr>
          <w:rFonts w:ascii="Microsoft JhengHei" w:eastAsia="Microsoft JhengHei" w:hAnsi="Microsoft JhengHei"/>
        </w:rPr>
      </w:pPr>
    </w:p>
    <w:sectPr>
      <w:pgSz w:w="11909" w:h="16834" w:code="9"/>
      <w:pgMar w:top="454" w:left="1077" w:bottom="284" w:right="1077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PMingLiU">
    <w:altName w:val="æ°ç´°æé«"/>
    <w:panose1 w:val="02020500000000000000"/>
    <w:charset w:val="136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/>
    <w:charset w:val="0"/>
    <w:family w:val="auto"/>
    <w:pitch w:val="default"/>
    <w:sig w:usb0="00000000" w:usb1="00000000" w:usb2="00000000" w:usb3="00000000" w:csb0="00000000" w:csb1="00000000"/>
  </w:font>
  <w:font w:name="TimesNewRomanPS Bold">
    <w:altName w:val="Arial"/>
    <w:panose1 w:val="00000000000000000000"/>
    <w:charset w:val="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0000000000000000000"/>
    <w:charset w:val="136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136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"/>
    <w:family w:val="auto"/>
    <w:pitch w:val="default"/>
    <w:sig w:usb0="00000003" w:usb1="00000000" w:usb2="00000000" w:usb3="00000000" w:csb0="00000001" w:csb1="00000000"/>
  </w:font>
  <w:font w:name="CG Times">
    <w:panose1 w:val="00000000000000000000"/>
    <w:charset w:val="0"/>
    <w:family w:val="roman"/>
    <w:pitch w:val="variable"/>
    <w:sig w:usb0="00000003" w:usb1="00000000" w:usb2="00000000" w:usb3="00000000" w:csb0="00000001" w:csb1="00000000"/>
  </w:font>
  <w:font w:name="MS Mincho">
    <w:altName w:val="ï¼­ï¼³ ææ"/>
    <w:panose1 w:val="02020609040205080304"/>
    <w:charset w:val="128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136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lvlText w:val="%9.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tart w:val="1"/>
      <w:suff w:val="tab"/>
      <w:pPr>
        <w:ind w:left="1185" w:hanging="480"/>
        <w:rPr/>
      </w:pPr>
      <w:rPr>
        <w:rFonts w:ascii="Wingdings" w:hAnsi="Wingdings" w:hint="default"/>
      </w:rPr>
      <w:lvlText w:val=""/>
    </w:lvl>
    <w:lvl w:ilvl="1">
      <w:lvlJc w:val="left"/>
      <w:numFmt w:val="bullet"/>
      <w:start w:val="1"/>
      <w:suff w:val="tab"/>
      <w:pPr>
        <w:ind w:left="1665" w:hanging="48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2145" w:hanging="48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625" w:hanging="48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3105" w:hanging="48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3585" w:hanging="48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4065" w:hanging="48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4545" w:hanging="48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5025" w:hanging="480"/>
        <w:rPr/>
      </w:pPr>
      <w:rPr>
        <w:rFonts w:ascii="Wingdings" w:hAnsi="Wingdings" w:hint="default"/>
      </w:rPr>
      <w:lvlText w:val="u"/>
    </w:lvl>
  </w:abstractNum>
  <w:abstractNum w:abstractNumId="2">
    <w:multiLevelType w:val="hybridMultilevel"/>
    <w:nsid w:val="2F000002"/>
    <w:tmpl w:val="1F000C5F"/>
    <w:lvl w:ilvl="0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1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2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3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4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5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6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7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8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</w:abstractNum>
  <w:abstractNum w:abstractNumId="3">
    <w:multiLevelType w:val="multilevel"/>
    <w:nsid w:val="2F000003"/>
    <w:tmpl w:val="1F0033C2"/>
    <w:lvl w:ilvl="0">
      <w:lvlJc w:val="left"/>
      <w:numFmt w:val="lowerRoman"/>
      <w:start w:val="1"/>
      <w:suff w:val="tab"/>
      <w:pPr>
        <w:ind w:left="624" w:hanging="624"/>
        <w:tabs>
          <w:tab w:val="left" w:pos="624"/>
        </w:tabs>
        <w:rPr/>
      </w:pPr>
      <w:rPr>
        <w:i w:val="0"/>
        <w:b w:val="0"/>
        <w:sz w:val="18"/>
        <w:szCs w:val="18"/>
      </w:rPr>
      <w:lvlText w:val="(%1)"/>
    </w:lvl>
    <w:lvl w:ilvl="1">
      <w:lvlJc w:val="left"/>
      <w:numFmt w:val="lowerRoman"/>
      <w:start w:val="1"/>
      <w:suff w:val="tab"/>
      <w:pPr>
        <w:ind w:left="1417" w:hanging="793"/>
        <w:tabs>
          <w:tab w:val="left" w:pos="1417"/>
        </w:tabs>
        <w:rPr/>
      </w:pPr>
      <w:rPr>
        <w:i w:val="0"/>
        <w:b w:val="0"/>
        <w:sz w:val="18"/>
        <w:szCs w:val="18"/>
      </w:rPr>
      <w:lvlText w:val="(%2)"/>
    </w:lvl>
    <w:lvl w:ilvl="2">
      <w:lvlJc w:val="left"/>
      <w:numFmt w:val="lowerRoman"/>
      <w:start w:val="1"/>
      <w:suff w:val="tab"/>
      <w:pPr>
        <w:ind w:left="1928" w:hanging="511"/>
        <w:tabs>
          <w:tab w:val="left" w:pos="1928"/>
        </w:tabs>
        <w:rPr/>
      </w:pPr>
      <w:rPr>
        <w:i w:val="0"/>
        <w:b w:val="0"/>
        <w:sz w:val="18"/>
        <w:szCs w:val="18"/>
      </w:rPr>
      <w:lvlText w:val="(%3)"/>
    </w:lvl>
    <w:lvl w:ilvl="3">
      <w:lvlJc w:val="left"/>
      <w:numFmt w:val="decimal"/>
      <w:start w:val="1"/>
      <w:suff w:val="tab"/>
      <w:pPr>
        <w:ind w:left="2438" w:hanging="510"/>
        <w:tabs>
          <w:tab w:val="left" w:pos="2438"/>
        </w:tabs>
        <w:rPr/>
      </w:pPr>
      <w:rPr>
        <w:i w:val="0"/>
        <w:b w:val="0"/>
        <w:sz w:val="20"/>
        <w:szCs w:val="20"/>
      </w:rPr>
      <w:lvlText w:val="(%4)"/>
    </w:lvl>
    <w:lvl w:ilvl="4">
      <w:lvlJc w:val="left"/>
      <w:numFmt w:val="bullet"/>
      <w:start w:val="1"/>
      <w:suff w:val="nothing"/>
      <w:pPr>
        <w:ind w:firstLine="0"/>
        <w:rPr/>
      </w:pPr>
      <w:lvlText w:val=""/>
    </w:lvl>
    <w:lvl w:ilvl="5">
      <w:lvlJc w:val="left"/>
      <w:numFmt w:val="bullet"/>
      <w:start w:val="1"/>
      <w:suff w:val="nothing"/>
      <w:pPr>
        <w:ind w:firstLine="0"/>
        <w:rPr/>
      </w:pPr>
      <w:lvlText w:val=""/>
    </w:lvl>
    <w:lvl w:ilvl="6">
      <w:lvlJc w:val="left"/>
      <w:numFmt w:val="bullet"/>
      <w:start w:val="1"/>
      <w:suff w:val="nothing"/>
      <w:pPr>
        <w:ind w:firstLine="0"/>
        <w:rPr/>
      </w:pPr>
      <w:lvlText w:val=""/>
    </w:lvl>
    <w:lvl w:ilvl="7">
      <w:lvlJc w:val="left"/>
      <w:numFmt w:val="bullet"/>
      <w:start w:val="1"/>
      <w:suff w:val="nothing"/>
      <w:pPr>
        <w:ind w:firstLine="0"/>
        <w:rPr/>
      </w:pPr>
      <w:lvlText w:val=""/>
    </w:lvl>
    <w:lvl w:ilvl="8">
      <w:lvlJc w:val="left"/>
      <w:numFmt w:val="bullet"/>
      <w:start w:val="1"/>
      <w:suff w:val="nothing"/>
      <w:pPr>
        <w:ind w:firstLine="0"/>
        <w:rPr/>
      </w:pPr>
      <w:lvlText w:val=""/>
    </w:lvl>
  </w:abstractNum>
  <w:abstractNum w:abstractNumId="4">
    <w:multiLevelType w:val="multilevel"/>
    <w:nsid w:val="2F000004"/>
    <w:tmpl w:val="1F002570"/>
    <w:lvl w:ilvl="0">
      <w:lvlJc w:val="left"/>
      <w:numFmt w:val="lowerLetter"/>
      <w:start w:val="1"/>
      <w:suff w:val="tab"/>
      <w:pPr>
        <w:ind w:left="624" w:hanging="624"/>
        <w:tabs>
          <w:tab w:val="left" w:pos="624"/>
        </w:tabs>
        <w:rPr/>
      </w:pPr>
      <w:rPr>
        <w:i w:val="0"/>
        <w:b w:val="0"/>
        <w:sz w:val="20"/>
        <w:szCs w:val="20"/>
      </w:rPr>
      <w:lvlText w:val="(%1)"/>
    </w:lvl>
    <w:lvl w:ilvl="1">
      <w:lvlJc w:val="left"/>
      <w:numFmt w:val="lowerLetter"/>
      <w:start w:val="1"/>
      <w:suff w:val="tab"/>
      <w:pPr>
        <w:ind w:left="1417" w:hanging="793"/>
        <w:tabs>
          <w:tab w:val="left" w:pos="1417"/>
        </w:tabs>
        <w:rPr/>
      </w:pPr>
      <w:rPr>
        <w:i w:val="0"/>
        <w:b w:val="0"/>
        <w:sz w:val="20"/>
        <w:szCs w:val="20"/>
      </w:rPr>
      <w:lvlText w:val="(%2)"/>
    </w:lvl>
    <w:lvl w:ilvl="2">
      <w:lvlJc w:val="left"/>
      <w:numFmt w:val="lowerLetter"/>
      <w:start w:val="1"/>
      <w:suff w:val="tab"/>
      <w:pPr>
        <w:ind w:left="1928" w:hanging="511"/>
        <w:tabs>
          <w:tab w:val="left" w:pos="1928"/>
        </w:tabs>
        <w:rPr/>
      </w:pPr>
      <w:rPr>
        <w:i w:val="0"/>
        <w:b w:val="0"/>
        <w:sz w:val="20"/>
        <w:szCs w:val="20"/>
      </w:rPr>
      <w:lvlText w:val="(%3)"/>
    </w:lvl>
    <w:lvl w:ilvl="3">
      <w:lvlJc w:val="left"/>
      <w:numFmt w:val="decimal"/>
      <w:start w:val="1"/>
      <w:suff w:val="tab"/>
      <w:pPr>
        <w:ind w:left="2154" w:hanging="510"/>
        <w:tabs>
          <w:tab w:val="left" w:pos="2154"/>
        </w:tabs>
        <w:rPr/>
      </w:pPr>
      <w:rPr>
        <w:i w:val="0"/>
        <w:b w:val="0"/>
        <w:sz w:val="20"/>
        <w:szCs w:val="20"/>
      </w:rPr>
      <w:lvlText w:val="(%4)"/>
    </w:lvl>
    <w:lvl w:ilvl="4">
      <w:lvlJc w:val="left"/>
      <w:numFmt w:val="bullet"/>
      <w:start w:val="1"/>
      <w:suff w:val="nothing"/>
      <w:pPr>
        <w:ind w:firstLine="0"/>
        <w:rPr/>
      </w:pPr>
      <w:lvlText w:val=""/>
    </w:lvl>
    <w:lvl w:ilvl="5">
      <w:lvlJc w:val="left"/>
      <w:numFmt w:val="bullet"/>
      <w:start w:val="1"/>
      <w:suff w:val="nothing"/>
      <w:pPr>
        <w:ind w:firstLine="0"/>
        <w:rPr/>
      </w:pPr>
      <w:lvlText w:val=""/>
    </w:lvl>
    <w:lvl w:ilvl="6">
      <w:lvlJc w:val="left"/>
      <w:numFmt w:val="bullet"/>
      <w:start w:val="1"/>
      <w:suff w:val="nothing"/>
      <w:pPr>
        <w:ind w:firstLine="0"/>
        <w:rPr/>
      </w:pPr>
      <w:lvlText w:val=""/>
    </w:lvl>
    <w:lvl w:ilvl="7">
      <w:lvlJc w:val="left"/>
      <w:numFmt w:val="bullet"/>
      <w:start w:val="1"/>
      <w:suff w:val="nothing"/>
      <w:pPr>
        <w:ind w:firstLine="0"/>
        <w:rPr/>
      </w:pPr>
      <w:lvlText w:val=""/>
    </w:lvl>
    <w:lvl w:ilvl="8">
      <w:lvlJc w:val="left"/>
      <w:numFmt w:val="bullet"/>
      <w:start w:val="1"/>
      <w:suff w:val="nothing"/>
      <w:pPr>
        <w:ind w:firstLine="0"/>
        <w:rPr/>
      </w:pPr>
      <w:lvlText w:val=""/>
    </w:lvl>
  </w:abstractNum>
  <w:abstractNum w:abstractNumId="5">
    <w:multiLevelType w:val="hybridMultilevel"/>
    <w:nsid w:val="2F000005"/>
    <w:tmpl w:val="1F001EB6"/>
    <w:lvl w:ilvl="0">
      <w:lvlJc w:val="left"/>
      <w:numFmt w:val="bullet"/>
      <w:start w:val="1"/>
      <w:suff w:val="tab"/>
      <w:pPr>
        <w:ind w:left="216" w:hanging="216"/>
        <w:tabs>
          <w:tab w:val="left" w:pos="360"/>
        </w:tabs>
        <w:rPr/>
      </w:pPr>
      <w:rPr>
        <w:rFonts w:ascii="Wingdings" w:hAnsi="Wingdings" w:hint="default"/>
      </w:rPr>
      <w:lvlText w:val="þ"/>
    </w:lvl>
    <w:lvl w:ilvl="1">
      <w:lvlJc w:val="left"/>
      <w:numFmt w:val="bullet"/>
      <w:start w:val="1"/>
      <w:suff w:val="tab"/>
      <w:pPr>
        <w:ind w:left="216" w:hanging="216"/>
        <w:tabs>
          <w:tab w:val="left" w:pos="360"/>
        </w:tabs>
        <w:rPr/>
      </w:pPr>
      <w:rPr>
        <w:rFonts w:ascii="Wingdings" w:hAnsi="Wingdings" w:hint="default"/>
      </w:rPr>
      <w:lvlText w:val="þ"/>
    </w:lvl>
    <w:lvl w:ilvl="2">
      <w:lvlJc w:val="left"/>
      <w:numFmt w:val="bullet"/>
      <w:start w:val="1"/>
      <w:suff w:val="tab"/>
      <w:pPr>
        <w:ind w:left="216" w:hanging="216"/>
        <w:tabs>
          <w:tab w:val="left" w:pos="360"/>
        </w:tabs>
        <w:rPr/>
      </w:pPr>
      <w:rPr>
        <w:rFonts w:ascii="Wingdings" w:hAnsi="Wingdings" w:hint="default"/>
      </w:rPr>
      <w:lvlText w:val="þ"/>
    </w:lvl>
    <w:lvl w:ilvl="3">
      <w:lvlJc w:val="left"/>
      <w:numFmt w:val="bullet"/>
      <w:start w:val="1"/>
      <w:suff w:val="tab"/>
      <w:pPr>
        <w:ind w:left="216" w:hanging="216"/>
        <w:tabs>
          <w:tab w:val="left" w:pos="360"/>
        </w:tabs>
        <w:rPr/>
      </w:pPr>
      <w:rPr>
        <w:rFonts w:ascii="Wingdings" w:hAnsi="Wingdings" w:hint="default"/>
      </w:rPr>
      <w:lvlText w:val="þ"/>
    </w:lvl>
    <w:lvl w:ilvl="4">
      <w:lvlJc w:val="left"/>
      <w:numFmt w:val="bullet"/>
      <w:start w:val="1"/>
      <w:suff w:val="tab"/>
      <w:pPr>
        <w:ind w:left="216" w:hanging="216"/>
        <w:tabs>
          <w:tab w:val="left" w:pos="360"/>
        </w:tabs>
        <w:rPr/>
      </w:pPr>
      <w:rPr>
        <w:rFonts w:ascii="Wingdings" w:hAnsi="Wingdings" w:hint="default"/>
      </w:rPr>
      <w:lvlText w:val="þ"/>
    </w:lvl>
    <w:lvl w:ilvl="5">
      <w:lvlJc w:val="left"/>
      <w:numFmt w:val="bullet"/>
      <w:start w:val="1"/>
      <w:suff w:val="tab"/>
      <w:pPr>
        <w:ind w:left="216" w:hanging="216"/>
        <w:tabs>
          <w:tab w:val="left" w:pos="360"/>
        </w:tabs>
        <w:rPr/>
      </w:pPr>
      <w:rPr>
        <w:rFonts w:ascii="Wingdings" w:hAnsi="Wingdings" w:hint="default"/>
      </w:rPr>
      <w:lvlText w:val="þ"/>
    </w:lvl>
    <w:lvl w:ilvl="6">
      <w:lvlJc w:val="left"/>
      <w:numFmt w:val="bullet"/>
      <w:start w:val="1"/>
      <w:suff w:val="tab"/>
      <w:pPr>
        <w:ind w:left="216" w:hanging="216"/>
        <w:tabs>
          <w:tab w:val="left" w:pos="360"/>
        </w:tabs>
        <w:rPr/>
      </w:pPr>
      <w:rPr>
        <w:rFonts w:ascii="Wingdings" w:hAnsi="Wingdings" w:hint="default"/>
      </w:rPr>
      <w:lvlText w:val="þ"/>
    </w:lvl>
    <w:lvl w:ilvl="7">
      <w:lvlJc w:val="left"/>
      <w:numFmt w:val="bullet"/>
      <w:start w:val="1"/>
      <w:suff w:val="tab"/>
      <w:pPr>
        <w:ind w:left="216" w:hanging="216"/>
        <w:tabs>
          <w:tab w:val="left" w:pos="360"/>
        </w:tabs>
        <w:rPr/>
      </w:pPr>
      <w:rPr>
        <w:rFonts w:ascii="Wingdings" w:hAnsi="Wingdings" w:hint="default"/>
      </w:rPr>
      <w:lvlText w:val="þ"/>
    </w:lvl>
    <w:lvl w:ilvl="8">
      <w:lvlJc w:val="left"/>
      <w:numFmt w:val="bullet"/>
      <w:start w:val="1"/>
      <w:suff w:val="tab"/>
      <w:pPr>
        <w:ind w:left="216" w:hanging="216"/>
        <w:tabs>
          <w:tab w:val="left" w:pos="360"/>
        </w:tabs>
        <w:rPr/>
      </w:pPr>
      <w:rPr>
        <w:rFonts w:ascii="Wingdings" w:hAnsi="Wingdings" w:hint="default"/>
      </w:rPr>
      <w:lvlText w:val="þ"/>
    </w:lvl>
  </w:abstractNum>
  <w:abstractNum w:abstractNumId="6">
    <w:multiLevelType w:val="hybridMultilevel"/>
    <w:nsid w:val="2F000006"/>
    <w:tmpl w:val="1F00166B"/>
    <w:lvl w:ilvl="0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1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2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3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4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5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6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7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8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</w:abstractNum>
  <w:abstractNum w:abstractNumId="7">
    <w:multiLevelType w:val="hybridMultilevel"/>
    <w:nsid w:val="2F000007"/>
    <w:tmpl w:val="1F003957"/>
    <w:lvl w:ilvl="0">
      <w:lvlJc w:val="left"/>
      <w:numFmt w:val="lowerRoman"/>
      <w:start w:val="1"/>
      <w:suff w:val="tab"/>
      <w:pPr>
        <w:ind w:left="720" w:hanging="720"/>
        <w:rPr/>
      </w:pPr>
      <w:rPr>
        <w:rFonts w:hint="default"/>
      </w:rPr>
      <w:lvlText w:val="(%1)"/>
    </w:lvl>
    <w:lvl w:ilvl="1">
      <w:lvlJc w:val="left"/>
      <w:numFmt w:val="ideographTraditional"/>
      <w:start w:val="1"/>
      <w:suff w:val="tab"/>
      <w:pPr>
        <w:ind w:left="960" w:hanging="480"/>
        <w:rPr/>
      </w:pPr>
      <w:lvlText w:val="%2、"/>
    </w:lvl>
    <w:lvl w:ilvl="2">
      <w:lvlJc w:val="right"/>
      <w:numFmt w:val="lowerRoman"/>
      <w:start w:val="1"/>
      <w:suff w:val="tab"/>
      <w:pPr>
        <w:ind w:left="1440" w:hanging="480"/>
        <w:rPr/>
      </w:pPr>
      <w:lvlText w:val="%3."/>
    </w:lvl>
    <w:lvl w:ilvl="3">
      <w:lvlJc w:val="left"/>
      <w:numFmt w:val="decimal"/>
      <w:start w:val="1"/>
      <w:suff w:val="tab"/>
      <w:pPr>
        <w:ind w:left="1920" w:hanging="480"/>
        <w:rPr/>
      </w:pPr>
      <w:lvlText w:val="%4."/>
    </w:lvl>
    <w:lvl w:ilvl="4">
      <w:lvlJc w:val="left"/>
      <w:numFmt w:val="ideographTraditional"/>
      <w:start w:val="1"/>
      <w:suff w:val="tab"/>
      <w:pPr>
        <w:ind w:left="2400" w:hanging="480"/>
        <w:rPr/>
      </w:pPr>
      <w:lvlText w:val="%5、"/>
    </w:lvl>
    <w:lvl w:ilvl="5">
      <w:lvlJc w:val="right"/>
      <w:numFmt w:val="lowerRoman"/>
      <w:start w:val="1"/>
      <w:suff w:val="tab"/>
      <w:pPr>
        <w:ind w:left="2880" w:hanging="480"/>
        <w:rPr/>
      </w:pPr>
      <w:lvlText w:val="%6."/>
    </w:lvl>
    <w:lvl w:ilvl="6">
      <w:lvlJc w:val="left"/>
      <w:numFmt w:val="decimal"/>
      <w:start w:val="1"/>
      <w:suff w:val="tab"/>
      <w:pPr>
        <w:ind w:left="3360" w:hanging="480"/>
        <w:rPr/>
      </w:pPr>
      <w:lvlText w:val="%7."/>
    </w:lvl>
    <w:lvl w:ilvl="7">
      <w:lvlJc w:val="left"/>
      <w:numFmt w:val="ideographTraditional"/>
      <w:start w:val="1"/>
      <w:suff w:val="tab"/>
      <w:pPr>
        <w:ind w:left="3840" w:hanging="480"/>
        <w:rPr/>
      </w:pPr>
      <w:lvlText w:val="%8、"/>
    </w:lvl>
    <w:lvl w:ilvl="8">
      <w:lvlJc w:val="right"/>
      <w:numFmt w:val="lowerRoman"/>
      <w:start w:val="1"/>
      <w:suff w:val="tab"/>
      <w:pPr>
        <w:ind w:left="4320" w:hanging="480"/>
        <w:rPr/>
      </w:pPr>
      <w:lvlText w:val="%9."/>
    </w:lvl>
  </w:abstractNum>
  <w:abstractNum w:abstractNumId="8">
    <w:multiLevelType w:val="hybridMultilevel"/>
    <w:nsid w:val="2F000008"/>
    <w:tmpl w:val="1F0034A9"/>
    <w:lvl w:ilvl="0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1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2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3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4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5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6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7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8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</w:abstractNum>
  <w:abstractNum w:abstractNumId="9">
    <w:multiLevelType w:val="hybridMultilevel"/>
    <w:nsid w:val="2F000009"/>
    <w:tmpl w:val="1F002FC8"/>
    <w:lvl w:ilvl="0">
      <w:lvlJc w:val="left"/>
      <w:numFmt w:val="decimal"/>
      <w:start w:val="1"/>
      <w:suff w:val="tab"/>
      <w:pPr>
        <w:ind w:left="36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840" w:hanging="420"/>
        <w:rPr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rPr/>
      </w:pPr>
      <w:lvlText w:val="%3."/>
    </w:lvl>
    <w:lvl w:ilvl="3">
      <w:lvlJc w:val="left"/>
      <w:numFmt w:val="decimal"/>
      <w:start w:val="1"/>
      <w:suff w:val="tab"/>
      <w:pPr>
        <w:ind w:left="1680" w:hanging="420"/>
        <w:rPr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rPr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rPr/>
      </w:pPr>
      <w:lvlText w:val="%6."/>
    </w:lvl>
    <w:lvl w:ilvl="6">
      <w:lvlJc w:val="left"/>
      <w:numFmt w:val="decimal"/>
      <w:start w:val="1"/>
      <w:suff w:val="tab"/>
      <w:pPr>
        <w:ind w:left="2940" w:hanging="420"/>
        <w:rPr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rPr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rPr/>
      </w:pPr>
      <w:lvlText w:val="%9."/>
    </w:lvl>
  </w:abstractNum>
  <w:abstractNum w:abstractNumId="10">
    <w:multiLevelType w:val="hybridMultilevel"/>
    <w:nsid w:val="2F00000A"/>
    <w:tmpl w:val="1F000B24"/>
    <w:lvl w:ilvl="0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lvlText w:val="%9."/>
    </w:lvl>
  </w:abstractNum>
  <w:abstractNum w:abstractNumId="11">
    <w:multiLevelType w:val="hybridMultilevel"/>
    <w:nsid w:val="2F00000B"/>
    <w:tmpl w:val="1F0036F8"/>
    <w:lvl w:ilvl="0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lvlText w:val="%9.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PMingLiU" w:hAnsi="Times New Roman" w:cs="Times New Roman"/>
      </w:rPr>
    </w:rPrDefault>
  </w:docDefaults>
  <w:style w:default="1" w:styleId="PO1" w:type="paragraph">
    <w:name w:val="Normal"/>
    <w:qFormat/>
    <w:uiPriority w:val="1"/>
    <w:pPr>
      <w:rPr/>
    </w:pPr>
    <w:rPr>
      <w:sz w:val="24"/>
      <w:szCs w:val="24"/>
    </w:rPr>
  </w:style>
  <w:style w:default="1" w:styleId="PO2" w:type="character">
    <w:name w:val="Default Paragraph Font"/>
    <w:link w:val="PO-1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</w:style>
  <w:style w:styleId="PO7" w:type="paragraph">
    <w:name w:val="heading 1"/>
    <w:basedOn w:val="PO1"/>
    <w:qFormat/>
    <w:uiPriority w:val="7"/>
    <w:pPr>
      <w:spacing w:before="100" w:beforeAutospacing="1" w:afterAutospacing="1" w:after="100"/>
      <w:rPr/>
    </w:pPr>
    <w:rPr>
      <w:b w:val="1"/>
      <w:sz w:val="48"/>
      <w:szCs w:val="48"/>
    </w:rPr>
  </w:style>
  <w:style w:styleId="PO8" w:type="paragraph">
    <w:name w:val="heading 2"/>
    <w:basedOn w:val="PO1"/>
    <w:next w:val="PO1"/>
    <w:qFormat/>
    <w:uiPriority w:val="8"/>
    <w:pPr>
      <w:spacing w:before="240" w:after="60"/>
      <w:rPr/>
      <w:outlineLvl w:val="0"/>
    </w:pPr>
    <w:rPr>
      <w:i w:val="1"/>
      <w:b w:val="1"/>
      <w:sz w:val="28"/>
      <w:szCs w:val="28"/>
      <w:rFonts w:ascii="Arial" w:hAnsi="Arial" w:cs="Arial"/>
    </w:rPr>
  </w:style>
  <w:style w:styleId="PO9" w:type="paragraph">
    <w:name w:val="heading 3"/>
    <w:basedOn w:val="PO1"/>
    <w:next w:val="PO1"/>
    <w:qFormat/>
    <w:uiPriority w:val="9"/>
    <w:pPr>
      <w:jc w:val="right"/>
      <w:ind w:left="450" w:hanging="450"/>
      <w:tabs>
        <w:tab w:val="left" w:pos="450"/>
      </w:tabs>
      <w:rPr/>
      <w:outlineLvl w:val="1"/>
    </w:pPr>
    <w:rPr>
      <w:b w:val="1"/>
      <w:sz w:val="22"/>
      <w:szCs w:val="22"/>
    </w:rPr>
  </w:style>
  <w:style w:styleId="PO20" w:type="character">
    <w:name w:val="Strong"/>
    <w:qFormat/>
    <w:uiPriority w:val="20"/>
    <w:rPr>
      <w:b w:val="1"/>
    </w:rPr>
  </w:style>
  <w:style w:styleId="PO26" w:type="paragraph">
    <w:name w:val="List Paragraph"/>
    <w:basedOn w:val="PO1"/>
    <w:qFormat/>
    <w:uiPriority w:val="26"/>
    <w:pPr>
      <w:ind w:left="480" w:firstLine="0"/>
      <w:rPr/>
    </w:pPr>
  </w:style>
  <w:style w:styleId="PO37" w:type="table">
    <w:name w:val="Table Grid"/>
    <w:basedOn w:val="PO3"/>
    <w:uiPriority w:val="37"/>
    <w:pPr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1" w:type="paragraph">
    <w:name w:val=" Char1 Char Char"/>
    <w:basedOn w:val="PO1"/>
    <w:link w:val="PO-1"/>
    <w:uiPriority w:val="151"/>
    <w:pPr>
      <w:spacing w:lineRule="exact" w:line="240" w:after="160"/>
      <w:rPr/>
    </w:pPr>
    <w:rPr>
      <w:sz w:val="20"/>
      <w:szCs w:val="20"/>
      <w:rFonts w:ascii="Verdana" w:eastAsia="Times New Roman" w:hAnsi="Verdana"/>
    </w:rPr>
  </w:style>
  <w:style w:customStyle="1" w:styleId="PO152" w:type="paragraph">
    <w:name w:val="10pt"/>
    <w:uiPriority w:val="152"/>
    <w:pPr>
      <w:jc w:val="both"/>
      <w:spacing w:lineRule="atLeast" w:line="200"/>
      <w:rPr/>
      <w:autoSpaceDE w:val="0"/>
      <w:autoSpaceDN w:val="0"/>
    </w:pPr>
    <w:rPr>
      <w:sz w:val="22"/>
      <w:szCs w:val="22"/>
      <w:rFonts w:ascii="TimesNewRomanPS" w:hAnsi="TimesNewRomanPS" w:cs="TimesNewRomanPS"/>
    </w:rPr>
  </w:style>
  <w:style w:customStyle="1" w:styleId="PO153" w:type="paragraph">
    <w:name w:val="∫ñ√D"/>
    <w:uiPriority w:val="153"/>
    <w:pPr>
      <w:jc w:val="both"/>
      <w:spacing w:lineRule="atLeast" w:line="300"/>
      <w:rPr/>
      <w:autoSpaceDE w:val="0"/>
      <w:autoSpaceDN w:val="0"/>
    </w:pPr>
    <w:rPr>
      <w:sz w:val="32"/>
      <w:szCs w:val="32"/>
      <w:rFonts w:ascii="TimesNewRomanPS Bold" w:hAnsi="TimesNewRomanPS Bold" w:cs="TimesNewRomanPS Bold"/>
    </w:rPr>
  </w:style>
  <w:style w:customStyle="1" w:styleId="PO154" w:type="paragraph">
    <w:name w:val="8pt"/>
    <w:uiPriority w:val="154"/>
    <w:pPr>
      <w:spacing w:lineRule="atLeast" w:line="160"/>
      <w:rPr/>
    </w:pPr>
    <w:rPr>
      <w:color w:val="auto"/>
    </w:rPr>
  </w:style>
  <w:style w:customStyle="1" w:styleId="PO155" w:type="paragraph">
    <w:name w:val="ß_ß¬"/>
    <w:uiPriority w:val="155"/>
    <w:pPr>
      <w:jc w:val="both"/>
      <w:spacing w:lineRule="atLeast" w:line="300"/>
      <w:rPr/>
      <w:autoSpaceDE w:val="0"/>
      <w:autoSpaceDN w:val="0"/>
    </w:pPr>
    <w:rPr>
      <w:color w:val="000000"/>
      <w:sz w:val="22"/>
      <w:szCs w:val="22"/>
      <w:rFonts w:ascii="TimesNewRomanPS" w:hAnsi="TimesNewRomanPS" w:cs="TimesNewRomanPS"/>
    </w:rPr>
  </w:style>
  <w:style w:customStyle="1" w:styleId="PO156" w:type="paragraph">
    <w:name w:val="ô˛µ˘ß_ß¬"/>
    <w:basedOn w:val="PO155"/>
    <w:uiPriority w:val="156"/>
    <w:pPr>
      <w:jc w:val="left"/>
      <w:rPr/>
    </w:pPr>
    <w:rPr>
      <w:color w:val="auto"/>
      <w:sz w:val="20"/>
      <w:szCs w:val="20"/>
    </w:rPr>
  </w:style>
  <w:style w:customStyle="1" w:styleId="PO157" w:type="paragraph">
    <w:name w:val="_∆∫ñ√D"/>
    <w:basedOn w:val="PO155"/>
    <w:uiPriority w:val="157"/>
    <w:rPr>
      <w:color w:val="auto"/>
      <w:sz w:val="26"/>
      <w:szCs w:val="26"/>
      <w:rFonts w:ascii="TimesNewRomanPS Bold" w:hAnsi="TimesNewRomanPS Bold" w:cs="TimesNewRomanPS Bold"/>
    </w:rPr>
  </w:style>
  <w:style w:customStyle="1" w:styleId="PO158" w:type="paragraph">
    <w:name w:val="ïD∫ñ√D"/>
    <w:basedOn w:val="PO155"/>
    <w:uiPriority w:val="158"/>
    <w:pPr>
      <w:spacing w:lineRule="atLeast" w:line="360"/>
      <w:pBdr>
        <w:top w:val="single" w:sz="2" w:space="0" w:color="000000"/>
        <w:bottom w:val="single" w:sz="2" w:space="0" w:color="000000"/>
        <w:between w:val="single" w:sz="2" w:space="0" w:color="000000"/>
      </w:pBdr>
      <w:rPr/>
    </w:pPr>
    <w:rPr>
      <w:color w:val="auto"/>
      <w:sz w:val="32"/>
      <w:szCs w:val="32"/>
      <w:rFonts w:ascii="TimesNewRomanPS Bold" w:hAnsi="TimesNewRomanPS Bold" w:cs="TimesNewRomanPS Bold"/>
    </w:rPr>
  </w:style>
  <w:style w:styleId="PO159" w:type="paragraph">
    <w:name w:val="footer"/>
    <w:basedOn w:val="PO1"/>
    <w:uiPriority w:val="159"/>
    <w:pPr>
      <w:tabs>
        <w:tab w:val="center" w:pos="4153"/>
        <w:tab w:val="right" w:pos="8306"/>
      </w:tabs>
      <w:rPr/>
      <w:snapToGrid w:val="off"/>
    </w:pPr>
    <w:rPr>
      <w:sz w:val="20"/>
      <w:szCs w:val="20"/>
    </w:rPr>
  </w:style>
  <w:style w:styleId="PO160" w:type="character">
    <w:name w:val="page number"/>
    <w:basedOn w:val="PO2"/>
    <w:uiPriority w:val="160"/>
  </w:style>
  <w:style w:styleId="PO161" w:type="paragraph">
    <w:name w:val="header"/>
    <w:basedOn w:val="PO1"/>
    <w:uiPriority w:val="161"/>
    <w:pPr>
      <w:tabs>
        <w:tab w:val="center" w:pos="4153"/>
        <w:tab w:val="right" w:pos="8306"/>
      </w:tabs>
      <w:rPr/>
      <w:snapToGrid w:val="off"/>
    </w:pPr>
    <w:rPr>
      <w:sz w:val="20"/>
      <w:szCs w:val="20"/>
    </w:rPr>
  </w:style>
  <w:style w:styleId="PO162" w:type="paragraph">
    <w:name w:val="Normal (Web)"/>
    <w:basedOn w:val="PO1"/>
    <w:uiPriority w:val="162"/>
    <w:pPr>
      <w:spacing w:before="100" w:beforeAutospacing="1" w:afterAutospacing="1" w:after="100"/>
      <w:rPr/>
    </w:pPr>
    <w:rPr/>
  </w:style>
  <w:style w:styleId="PO163" w:type="character">
    <w:name w:val="Hyperlink"/>
    <w:uiPriority w:val="163"/>
    <w:rPr>
      <w:color w:val="0000FF"/>
      <w:u w:val="single"/>
    </w:rPr>
  </w:style>
  <w:style w:styleId="PO164" w:type="paragraph">
    <w:name w:val="Body Text Indent 3"/>
    <w:basedOn w:val="PO1"/>
    <w:uiPriority w:val="164"/>
    <w:pPr>
      <w:ind w:left="705" w:hanging="360"/>
      <w:rPr/>
    </w:pPr>
    <w:rPr>
      <w:sz w:val="20"/>
      <w:szCs w:val="20"/>
      <w:rFonts w:cs="Courier New"/>
    </w:rPr>
  </w:style>
  <w:style w:styleId="PO165" w:type="paragraph">
    <w:name w:val="Body Text Indent"/>
    <w:basedOn w:val="PO1"/>
    <w:uiPriority w:val="165"/>
    <w:pPr>
      <w:spacing w:after="120"/>
      <w:ind w:left="283" w:firstLine="0"/>
      <w:rPr/>
    </w:pPr>
  </w:style>
  <w:style w:customStyle="1" w:styleId="PO166" w:type="paragraph">
    <w:name w:val="Default"/>
    <w:uiPriority w:val="166"/>
    <w:pPr>
      <w:rPr/>
      <w:autoSpaceDE w:val="0"/>
      <w:autoSpaceDN w:val="0"/>
    </w:pPr>
    <w:rPr>
      <w:color w:val="000000"/>
      <w:sz w:val="24"/>
      <w:szCs w:val="24"/>
      <w:rFonts w:ascii="FMJJNB+Garamond" w:eastAsia="FMJJNB+Garamond" w:cs="FMJJNB+Garamond"/>
    </w:rPr>
  </w:style>
  <w:style w:customStyle="1" w:styleId="PO167" w:type="paragraph">
    <w:name w:val="Heading3"/>
    <w:basedOn w:val="PO1"/>
    <w:uiPriority w:val="167"/>
    <w:rPr>
      <w:b w:val="1"/>
      <w:sz w:val="28"/>
      <w:szCs w:val="28"/>
    </w:rPr>
  </w:style>
  <w:style w:styleId="PO168" w:type="character">
    <w:name w:val="FollowedHyperlink"/>
    <w:uiPriority w:val="168"/>
    <w:rPr>
      <w:color w:val="800080"/>
      <w:u w:val="single"/>
    </w:rPr>
  </w:style>
  <w:style w:styleId="PO169" w:type="paragraph">
    <w:name w:val="Body Text Indent 2"/>
    <w:basedOn w:val="PO1"/>
    <w:uiPriority w:val="169"/>
    <w:pPr>
      <w:spacing w:lineRule="auto" w:line="480" w:after="120"/>
      <w:ind w:left="283" w:firstLine="0"/>
      <w:rPr/>
    </w:pPr>
  </w:style>
  <w:style w:customStyle="1" w:styleId="PO170" w:type="paragraph">
    <w:name w:val="Text 8.5/11"/>
    <w:uiPriority w:val="170"/>
    <w:pPr>
      <w:jc w:val="both"/>
      <w:spacing w:lineRule="atLeast" w:line="220"/>
      <w:ind w:right="283" w:firstLine="0"/>
      <w:rPr/>
      <w:autoSpaceDE w:val="0"/>
      <w:autoSpaceDN w:val="0"/>
    </w:pPr>
    <w:rPr>
      <w:sz w:val="17"/>
      <w:szCs w:val="17"/>
      <w:rFonts w:ascii="宋＋45 Univers" w:eastAsia="宋＋45 Univers"/>
    </w:rPr>
  </w:style>
  <w:style w:customStyle="1" w:styleId="PO171" w:type="paragraph">
    <w:name w:val="Body Text 21"/>
    <w:basedOn w:val="PO1"/>
    <w:uiPriority w:val="171"/>
    <w:pPr>
      <w:jc w:val="both"/>
      <w:ind w:left="720" w:firstLine="0"/>
      <w:rPr/>
    </w:pPr>
    <w:rPr>
      <w:rFonts w:ascii="CG Times (W1)" w:hAnsi="CG Times (W1)"/>
    </w:rPr>
  </w:style>
  <w:style w:customStyle="1" w:styleId="PO172" w:type="character">
    <w:name w:val="verd_black13b"/>
    <w:basedOn w:val="PO2"/>
    <w:uiPriority w:val="172"/>
  </w:style>
  <w:style w:customStyle="1" w:styleId="PO173" w:type="character">
    <w:name w:val="verd_grey13b"/>
    <w:basedOn w:val="PO2"/>
    <w:uiPriority w:val="173"/>
  </w:style>
  <w:style w:customStyle="1" w:styleId="PO174" w:type="character">
    <w:name w:val="verd_black12"/>
    <w:basedOn w:val="PO2"/>
    <w:uiPriority w:val="174"/>
  </w:style>
  <w:style w:styleId="PO175" w:type="paragraph">
    <w:name w:val="Plain Text"/>
    <w:basedOn w:val="PO1"/>
    <w:uiPriority w:val="175"/>
    <w:pPr>
      <w:rPr/>
    </w:pPr>
    <w:rPr>
      <w:sz w:val="20"/>
      <w:szCs w:val="20"/>
      <w:rFonts w:ascii="Courier New" w:hAnsi="Courier New"/>
    </w:rPr>
  </w:style>
  <w:style w:styleId="PO176" w:type="paragraph">
    <w:name w:val="Normal Indent"/>
    <w:basedOn w:val="PO1"/>
    <w:uiPriority w:val="176"/>
    <w:pPr>
      <w:ind w:left="480" w:firstLine="0"/>
      <w:rPr/>
    </w:pPr>
    <w:rPr/>
  </w:style>
  <w:style w:customStyle="1" w:styleId="PO177" w:type="paragraph">
    <w:name w:val=" 字元 字元 字元 Char 字元 字元 Char Char Char Char Char Char"/>
    <w:basedOn w:val="PO1"/>
    <w:uiPriority w:val="177"/>
    <w:pPr>
      <w:spacing w:lineRule="exact" w:line="240" w:after="160"/>
      <w:rPr/>
    </w:pPr>
    <w:rPr>
      <w:sz w:val="20"/>
      <w:szCs w:val="20"/>
      <w:rFonts w:ascii="Verdana" w:eastAsia="Times New Roman" w:hAnsi="Verdana"/>
    </w:rPr>
  </w:style>
  <w:style w:customStyle="1" w:styleId="PO178" w:type="paragraph">
    <w:name w:val="Tab 1"/>
    <w:basedOn w:val="PO170"/>
    <w:uiPriority w:val="178"/>
    <w:pPr>
      <w:ind w:right="0" w:left="566" w:hanging="566"/>
      <w:tabs>
        <w:tab w:val="left" w:pos="561"/>
      </w:tabs>
      <w:rPr/>
    </w:pPr>
    <w:rPr>
      <w:rFonts w:ascii="Univers 45 Light" w:eastAsia="PMingLiU" w:hAnsi="Univers 45 Light"/>
    </w:rPr>
  </w:style>
  <w:style w:customStyle="1" w:styleId="PO179" w:type="paragraph">
    <w:name w:val="Tab 2"/>
    <w:basedOn w:val="PO178"/>
    <w:uiPriority w:val="179"/>
    <w:pPr>
      <w:ind w:left="1020" w:hanging="454"/>
      <w:tabs>
        <w:tab w:val="clear" w:pos="561"/>
        <w:tab w:val="left" w:pos="1020"/>
      </w:tabs>
      <w:rPr/>
    </w:pPr>
  </w:style>
  <w:style w:customStyle="1" w:styleId="PO180" w:type="paragraph">
    <w:name w:val="Tab 3"/>
    <w:basedOn w:val="PO179"/>
    <w:uiPriority w:val="180"/>
    <w:pPr>
      <w:ind w:left="1474" w:firstLine="0"/>
      <w:tabs>
        <w:tab w:val="clear" w:pos="1020"/>
        <w:tab w:val="left" w:pos="1474"/>
      </w:tabs>
      <w:rPr/>
    </w:pPr>
  </w:style>
  <w:style w:styleId="PO181" w:type="paragraph">
    <w:name w:val="Body Text"/>
    <w:basedOn w:val="PO1"/>
    <w:uiPriority w:val="181"/>
    <w:pPr>
      <w:spacing w:after="120"/>
      <w:rPr/>
    </w:pPr>
  </w:style>
  <w:style w:customStyle="1" w:styleId="PO182" w:type="paragraph">
    <w:name w:val=" 字元 字元"/>
    <w:basedOn w:val="PO1"/>
    <w:uiPriority w:val="182"/>
    <w:pPr>
      <w:spacing w:lineRule="exact" w:line="240" w:after="160"/>
      <w:rPr/>
    </w:pPr>
    <w:rPr>
      <w:sz w:val="20"/>
      <w:szCs w:val="20"/>
      <w:rFonts w:ascii="Verdana" w:eastAsia="Times New Roman" w:hAnsi="Verdana"/>
    </w:rPr>
  </w:style>
  <w:style w:customStyle="1" w:styleId="PO183" w:type="paragraph">
    <w:name w:val="List Alpha 1"/>
    <w:basedOn w:val="PO1"/>
    <w:next w:val="PO181"/>
    <w:uiPriority w:val="183"/>
    <w:pPr>
      <w:numPr>
        <w:ilvl w:val="0"/>
        <w:numId w:val="5"/>
      </w:numPr>
      <w:jc w:val="both"/>
      <w:spacing w:lineRule="auto" w:line="288" w:after="200"/>
      <w:tabs>
        <w:tab w:val="left" w:pos="22"/>
      </w:tabs>
      <w:rPr/>
    </w:pPr>
    <w:rPr>
      <w:sz w:val="22"/>
      <w:szCs w:val="22"/>
      <w:rFonts w:ascii="CG Times" w:eastAsia="MS Mincho" w:hAnsi="CG Times"/>
    </w:rPr>
  </w:style>
  <w:style w:customStyle="1" w:styleId="PO184" w:type="paragraph">
    <w:name w:val="List Alpha 2"/>
    <w:basedOn w:val="PO1"/>
    <w:uiPriority w:val="184"/>
    <w:pPr>
      <w:numPr>
        <w:ilvl w:val="1"/>
        <w:numId w:val="5"/>
      </w:numPr>
      <w:jc w:val="both"/>
      <w:spacing w:lineRule="auto" w:line="288" w:after="200"/>
      <w:tabs>
        <w:tab w:val="left" w:pos="50"/>
      </w:tabs>
      <w:rPr/>
    </w:pPr>
    <w:rPr>
      <w:sz w:val="22"/>
      <w:szCs w:val="22"/>
      <w:rFonts w:ascii="CG Times" w:eastAsia="MS Mincho" w:hAnsi="CG Times"/>
    </w:rPr>
  </w:style>
  <w:style w:styleId="PO185" w:type="paragraph">
    <w:name w:val="Body Text 2"/>
    <w:basedOn w:val="PO1"/>
    <w:uiPriority w:val="185"/>
    <w:pPr>
      <w:spacing w:lineRule="auto" w:line="480" w:after="120"/>
      <w:rPr/>
    </w:pPr>
  </w:style>
  <w:style w:customStyle="1" w:styleId="PO186" w:type="paragraph">
    <w:name w:val="List Alpha 3"/>
    <w:basedOn w:val="PO1"/>
    <w:uiPriority w:val="186"/>
    <w:pPr>
      <w:numPr>
        <w:ilvl w:val="2"/>
        <w:numId w:val="5"/>
      </w:numPr>
      <w:jc w:val="both"/>
      <w:spacing w:lineRule="auto" w:line="288" w:after="200"/>
      <w:tabs>
        <w:tab w:val="left" w:pos="68"/>
      </w:tabs>
      <w:rPr/>
    </w:pPr>
    <w:rPr>
      <w:sz w:val="22"/>
      <w:szCs w:val="22"/>
      <w:rFonts w:ascii="CG Times" w:eastAsia="MS Mincho" w:hAnsi="CG Times"/>
    </w:rPr>
  </w:style>
  <w:style w:styleId="PO187" w:type="paragraph">
    <w:name w:val="Body Text 3"/>
    <w:basedOn w:val="PO1"/>
    <w:uiPriority w:val="187"/>
    <w:pPr>
      <w:spacing w:after="120"/>
      <w:rPr/>
    </w:pPr>
    <w:rPr>
      <w:sz w:val="16"/>
      <w:szCs w:val="16"/>
    </w:rPr>
  </w:style>
  <w:style w:customStyle="1" w:styleId="PO188" w:type="paragraph">
    <w:name w:val="List Roman 1"/>
    <w:basedOn w:val="PO1"/>
    <w:next w:val="PO181"/>
    <w:uiPriority w:val="188"/>
    <w:pPr>
      <w:numPr>
        <w:ilvl w:val="0"/>
        <w:numId w:val="6"/>
      </w:numPr>
      <w:jc w:val="both"/>
      <w:spacing w:lineRule="auto" w:line="288" w:after="200"/>
      <w:tabs>
        <w:tab w:val="left" w:pos="22"/>
      </w:tabs>
      <w:rPr/>
    </w:pPr>
    <w:rPr>
      <w:sz w:val="22"/>
      <w:szCs w:val="22"/>
      <w:rFonts w:ascii="CG Times" w:eastAsia="MS Mincho" w:hAnsi="CG Times"/>
    </w:rPr>
  </w:style>
  <w:style w:customStyle="1" w:styleId="PO189" w:type="paragraph">
    <w:name w:val="List Roman 2"/>
    <w:basedOn w:val="PO1"/>
    <w:next w:val="PO185"/>
    <w:uiPriority w:val="189"/>
    <w:pPr>
      <w:numPr>
        <w:ilvl w:val="1"/>
        <w:numId w:val="6"/>
      </w:numPr>
      <w:jc w:val="both"/>
      <w:spacing w:lineRule="auto" w:line="288" w:after="200"/>
      <w:tabs>
        <w:tab w:val="left" w:pos="50"/>
      </w:tabs>
      <w:rPr/>
    </w:pPr>
    <w:rPr>
      <w:sz w:val="22"/>
      <w:szCs w:val="22"/>
      <w:rFonts w:ascii="CG Times" w:eastAsia="MS Mincho" w:hAnsi="CG Times"/>
    </w:rPr>
  </w:style>
  <w:style w:customStyle="1" w:styleId="PO190" w:type="paragraph">
    <w:name w:val="List Roman 3"/>
    <w:basedOn w:val="PO1"/>
    <w:next w:val="PO187"/>
    <w:uiPriority w:val="190"/>
    <w:pPr>
      <w:numPr>
        <w:ilvl w:val="2"/>
        <w:numId w:val="6"/>
      </w:numPr>
      <w:jc w:val="both"/>
      <w:spacing w:lineRule="auto" w:line="288" w:after="200"/>
      <w:tabs>
        <w:tab w:val="left" w:pos="68"/>
      </w:tabs>
      <w:rPr/>
    </w:pPr>
    <w:rPr>
      <w:sz w:val="22"/>
      <w:szCs w:val="22"/>
      <w:rFonts w:ascii="CG Times" w:eastAsia="MS Mincho" w:hAnsi="CG Times"/>
    </w:rPr>
  </w:style>
  <w:style w:styleId="PO191" w:type="paragraph">
    <w:name w:val="Balloon Text"/>
    <w:basedOn w:val="PO1"/>
    <w:link w:val="PO-1"/>
    <w:uiPriority w:val="191"/>
    <w:semiHidden/>
    <w:unhideWhenUsed/>
    <w:rPr>
      <w:sz w:val="16"/>
      <w:szCs w:val="16"/>
      <w:rFonts w:ascii="Cambria" w:hAnsi="Cambria"/>
    </w:rPr>
  </w:style>
  <w:style w:customStyle="1" w:styleId="PO192" w:type="character">
    <w:name w:val="批注框文本 Char"/>
    <w:link w:val="PO-1"/>
    <w:uiPriority w:val="192"/>
    <w:semiHidden/>
    <w:rPr>
      <w:sz w:val="16"/>
      <w:szCs w:val="16"/>
      <w:rFonts w:ascii="Cambria" w:eastAsia="PMingLiU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12798</Characters>
  <CharactersWithSpaces>0</CharactersWithSpaces>
  <Company>TKGroup</Company>
  <DocSecurity>0</DocSecurity>
  <HyperlinksChanged>false</HyperlinksChanged>
  <Lines>90</Lines>
  <LinksUpToDate>false</LinksUpToDate>
  <Pages>10</Pages>
  <Paragraphs>25</Paragraphs>
  <Words>1913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AgnesHo</dc:creator>
  <cp:lastModifiedBy/>
  <dc:title>APPENDIX 8A</dc:title>
  <dcterms:modified xsi:type="dcterms:W3CDTF">2019-12-02T02:31:00Z</dcterms:modified>
</cp:coreProperties>
</file>